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B1A" w:rsidRPr="00DE0B1A" w:rsidRDefault="004C50A3" w:rsidP="00DE0B1A">
      <w:pPr>
        <w:spacing w:after="160" w:line="259" w:lineRule="auto"/>
        <w:rPr>
          <w:rFonts w:ascii="Arial" w:eastAsiaTheme="minorHAnsi" w:hAnsi="Arial" w:cs="Arial"/>
          <w:b/>
          <w:u w:val="single"/>
          <w:lang w:eastAsia="en-US"/>
        </w:rPr>
      </w:pPr>
      <w:bookmarkStart w:id="0" w:name="_GoBack"/>
      <w:bookmarkEnd w:id="0"/>
      <w:r>
        <w:rPr>
          <w:rFonts w:ascii="Arial" w:eastAsiaTheme="minorHAnsi" w:hAnsi="Arial" w:cs="Arial"/>
          <w:b/>
          <w:u w:val="single"/>
          <w:lang w:eastAsia="en-US"/>
        </w:rPr>
        <w:t>REPORT TO A MEETING OF DUSTON PARISH COUNCIL</w:t>
      </w:r>
      <w:r w:rsidR="00DE0B1A" w:rsidRPr="00DE0B1A">
        <w:rPr>
          <w:rFonts w:ascii="Arial" w:eastAsiaTheme="minorHAnsi" w:hAnsi="Arial" w:cs="Arial"/>
          <w:b/>
          <w:u w:val="single"/>
          <w:lang w:eastAsia="en-US"/>
        </w:rPr>
        <w:t xml:space="preserve"> TO BE HELD ON </w:t>
      </w:r>
      <w:r w:rsidR="006325B1">
        <w:rPr>
          <w:rFonts w:ascii="Arial" w:eastAsiaTheme="minorHAnsi" w:hAnsi="Arial" w:cs="Arial"/>
          <w:b/>
          <w:u w:val="single"/>
          <w:lang w:eastAsia="en-US"/>
        </w:rPr>
        <w:t>26</w:t>
      </w:r>
      <w:r w:rsidR="00DE0B1A" w:rsidRPr="00DE0B1A">
        <w:rPr>
          <w:rFonts w:ascii="Arial" w:eastAsiaTheme="minorHAnsi" w:hAnsi="Arial" w:cs="Arial"/>
          <w:b/>
          <w:u w:val="single"/>
          <w:lang w:eastAsia="en-US"/>
        </w:rPr>
        <w:t xml:space="preserve"> </w:t>
      </w:r>
      <w:r w:rsidR="006325B1">
        <w:rPr>
          <w:rFonts w:ascii="Arial" w:eastAsiaTheme="minorHAnsi" w:hAnsi="Arial" w:cs="Arial"/>
          <w:b/>
          <w:u w:val="single"/>
          <w:lang w:eastAsia="en-US"/>
        </w:rPr>
        <w:t>JUNE</w:t>
      </w:r>
      <w:r w:rsidR="00DE0B1A" w:rsidRPr="00DE0B1A">
        <w:rPr>
          <w:rFonts w:ascii="Arial" w:eastAsiaTheme="minorHAnsi" w:hAnsi="Arial" w:cs="Arial"/>
          <w:b/>
          <w:u w:val="single"/>
          <w:lang w:eastAsia="en-US"/>
        </w:rPr>
        <w:t xml:space="preserve"> 2018 </w:t>
      </w:r>
    </w:p>
    <w:p w:rsidR="00DE0B1A" w:rsidRPr="00DE0B1A" w:rsidRDefault="00FC6668" w:rsidP="00DE0B1A">
      <w:pPr>
        <w:spacing w:after="160" w:line="259" w:lineRule="auto"/>
        <w:rPr>
          <w:rFonts w:ascii="Arial" w:eastAsiaTheme="minorHAnsi" w:hAnsi="Arial" w:cs="Arial"/>
          <w:b/>
          <w:u w:val="single"/>
          <w:lang w:eastAsia="en-US"/>
        </w:rPr>
      </w:pPr>
      <w:r>
        <w:rPr>
          <w:rFonts w:ascii="Arial" w:eastAsiaTheme="minorHAnsi" w:hAnsi="Arial" w:cs="Arial"/>
          <w:b/>
          <w:u w:val="single"/>
          <w:lang w:eastAsia="en-US"/>
        </w:rPr>
        <w:t xml:space="preserve">AGENDA </w:t>
      </w:r>
      <w:proofErr w:type="gramStart"/>
      <w:r>
        <w:rPr>
          <w:rFonts w:ascii="Arial" w:eastAsiaTheme="minorHAnsi" w:hAnsi="Arial" w:cs="Arial"/>
          <w:b/>
          <w:u w:val="single"/>
          <w:lang w:eastAsia="en-US"/>
        </w:rPr>
        <w:t xml:space="preserve">ITEM </w:t>
      </w:r>
      <w:r w:rsidR="00DE0B1A" w:rsidRPr="00DE0B1A">
        <w:rPr>
          <w:rFonts w:ascii="Arial" w:eastAsiaTheme="minorHAnsi" w:hAnsi="Arial" w:cs="Arial"/>
          <w:b/>
          <w:u w:val="single"/>
          <w:lang w:eastAsia="en-US"/>
        </w:rPr>
        <w:t xml:space="preserve"> </w:t>
      </w:r>
      <w:r w:rsidR="00003FB8">
        <w:rPr>
          <w:rFonts w:ascii="Arial" w:eastAsiaTheme="minorHAnsi" w:hAnsi="Arial" w:cs="Arial"/>
          <w:b/>
          <w:u w:val="single"/>
          <w:lang w:eastAsia="en-US"/>
        </w:rPr>
        <w:t>14</w:t>
      </w:r>
      <w:proofErr w:type="gramEnd"/>
      <w:r w:rsidR="00003FB8">
        <w:rPr>
          <w:rFonts w:ascii="Arial" w:eastAsiaTheme="minorHAnsi" w:hAnsi="Arial" w:cs="Arial"/>
          <w:b/>
          <w:u w:val="single"/>
          <w:lang w:eastAsia="en-US"/>
        </w:rPr>
        <w:t xml:space="preserve"> </w:t>
      </w:r>
      <w:r w:rsidR="00DE0B1A" w:rsidRPr="00DE0B1A">
        <w:rPr>
          <w:rFonts w:ascii="Arial" w:eastAsiaTheme="minorHAnsi" w:hAnsi="Arial" w:cs="Arial"/>
          <w:b/>
          <w:u w:val="single"/>
          <w:lang w:eastAsia="en-US"/>
        </w:rPr>
        <w:t xml:space="preserve">– </w:t>
      </w:r>
      <w:r w:rsidR="00003FB8">
        <w:rPr>
          <w:rFonts w:ascii="Arial" w:eastAsiaTheme="minorHAnsi" w:hAnsi="Arial" w:cs="Arial"/>
          <w:b/>
          <w:u w:val="single"/>
          <w:lang w:eastAsia="en-US"/>
        </w:rPr>
        <w:t xml:space="preserve">ANNUAL RETURN, GOVERNANCE STATEMENT AND END OF YEAR ACCOUNTS </w:t>
      </w:r>
      <w:r w:rsidR="003F2DA2">
        <w:rPr>
          <w:rFonts w:ascii="Arial" w:eastAsiaTheme="minorHAnsi" w:hAnsi="Arial" w:cs="Arial"/>
          <w:b/>
          <w:u w:val="single"/>
          <w:lang w:eastAsia="en-US"/>
        </w:rPr>
        <w:t xml:space="preserve"> </w:t>
      </w:r>
      <w:r w:rsidR="003C5685">
        <w:rPr>
          <w:rFonts w:ascii="Arial" w:eastAsiaTheme="minorHAnsi" w:hAnsi="Arial" w:cs="Arial"/>
          <w:b/>
          <w:u w:val="single"/>
          <w:lang w:eastAsia="en-US"/>
        </w:rPr>
        <w:t>2017/18</w:t>
      </w:r>
    </w:p>
    <w:p w:rsidR="00DE0B1A" w:rsidRPr="00DE0B1A" w:rsidRDefault="00DE0B1A" w:rsidP="00DE0B1A">
      <w:pPr>
        <w:spacing w:after="160" w:line="259" w:lineRule="auto"/>
        <w:rPr>
          <w:rFonts w:ascii="Arial" w:eastAsiaTheme="minorHAnsi" w:hAnsi="Arial" w:cs="Arial"/>
          <w:b/>
          <w:u w:val="single"/>
          <w:lang w:eastAsia="en-US"/>
        </w:rPr>
      </w:pPr>
    </w:p>
    <w:p w:rsidR="00DE0B1A" w:rsidRPr="00EC3C53" w:rsidRDefault="00DE0B1A" w:rsidP="00DE0B1A">
      <w:pPr>
        <w:spacing w:after="160" w:line="259" w:lineRule="auto"/>
        <w:rPr>
          <w:rFonts w:ascii="Arial" w:eastAsiaTheme="minorHAnsi" w:hAnsi="Arial" w:cs="Arial"/>
          <w:b/>
          <w:lang w:eastAsia="en-US"/>
        </w:rPr>
      </w:pPr>
      <w:r w:rsidRPr="00DE0B1A">
        <w:rPr>
          <w:rFonts w:ascii="Arial" w:eastAsiaTheme="minorHAnsi" w:hAnsi="Arial" w:cs="Arial"/>
          <w:b/>
          <w:lang w:eastAsia="en-US"/>
        </w:rPr>
        <w:t>1.</w:t>
      </w:r>
      <w:r w:rsidRPr="00DE0B1A">
        <w:rPr>
          <w:rFonts w:ascii="Arial" w:eastAsiaTheme="minorHAnsi" w:hAnsi="Arial" w:cs="Arial"/>
          <w:b/>
          <w:lang w:eastAsia="en-US"/>
        </w:rPr>
        <w:tab/>
      </w:r>
      <w:r w:rsidRPr="00EC3C53">
        <w:rPr>
          <w:rFonts w:ascii="Arial" w:eastAsiaTheme="minorHAnsi" w:hAnsi="Arial" w:cs="Arial"/>
          <w:b/>
          <w:u w:val="single"/>
          <w:lang w:eastAsia="en-US"/>
        </w:rPr>
        <w:t>PURPOSE OF THE REPORT</w:t>
      </w:r>
      <w:r w:rsidRPr="00EC3C53">
        <w:rPr>
          <w:rFonts w:ascii="Arial" w:eastAsiaTheme="minorHAnsi" w:hAnsi="Arial" w:cs="Arial"/>
          <w:b/>
          <w:lang w:eastAsia="en-US"/>
        </w:rPr>
        <w:t xml:space="preserve"> </w:t>
      </w:r>
    </w:p>
    <w:p w:rsidR="003C5685" w:rsidRPr="00EC3C53" w:rsidRDefault="00DE0B1A" w:rsidP="00DE0B1A">
      <w:pPr>
        <w:spacing w:after="160" w:line="259" w:lineRule="auto"/>
        <w:ind w:left="720"/>
        <w:rPr>
          <w:rFonts w:ascii="Arial" w:eastAsiaTheme="minorHAnsi" w:hAnsi="Arial" w:cs="Arial"/>
          <w:lang w:eastAsia="en-US"/>
        </w:rPr>
      </w:pPr>
      <w:r w:rsidRPr="00EC3C53">
        <w:rPr>
          <w:rFonts w:ascii="Arial" w:eastAsiaTheme="minorHAnsi" w:hAnsi="Arial" w:cs="Arial"/>
          <w:lang w:eastAsia="en-US"/>
        </w:rPr>
        <w:t xml:space="preserve">To </w:t>
      </w:r>
      <w:r w:rsidR="003C5685">
        <w:rPr>
          <w:rFonts w:ascii="Arial" w:eastAsiaTheme="minorHAnsi" w:hAnsi="Arial" w:cs="Arial"/>
          <w:lang w:eastAsia="en-US"/>
        </w:rPr>
        <w:t xml:space="preserve">provide the Council with a commentary on the </w:t>
      </w:r>
      <w:proofErr w:type="spellStart"/>
      <w:r w:rsidR="003C5685">
        <w:rPr>
          <w:rFonts w:ascii="Arial" w:eastAsiaTheme="minorHAnsi" w:hAnsi="Arial" w:cs="Arial"/>
          <w:lang w:eastAsia="en-US"/>
        </w:rPr>
        <w:t>year end</w:t>
      </w:r>
      <w:proofErr w:type="spellEnd"/>
      <w:r w:rsidR="003C5685">
        <w:rPr>
          <w:rFonts w:ascii="Arial" w:eastAsiaTheme="minorHAnsi" w:hAnsi="Arial" w:cs="Arial"/>
          <w:lang w:eastAsia="en-US"/>
        </w:rPr>
        <w:t xml:space="preserve"> figures for 2017/18</w:t>
      </w:r>
      <w:r w:rsidR="0085426B">
        <w:rPr>
          <w:rFonts w:ascii="Arial" w:eastAsiaTheme="minorHAnsi" w:hAnsi="Arial" w:cs="Arial"/>
          <w:lang w:eastAsia="en-US"/>
        </w:rPr>
        <w:t xml:space="preserve">. </w:t>
      </w:r>
      <w:r w:rsidR="003C5685">
        <w:rPr>
          <w:rFonts w:ascii="Arial" w:eastAsiaTheme="minorHAnsi" w:hAnsi="Arial" w:cs="Arial"/>
          <w:lang w:eastAsia="en-US"/>
        </w:rPr>
        <w:t xml:space="preserve">To ask the Council to approve the year end accounts, Annual Governance </w:t>
      </w:r>
      <w:r w:rsidR="0085426B">
        <w:rPr>
          <w:rFonts w:ascii="Arial" w:eastAsiaTheme="minorHAnsi" w:hAnsi="Arial" w:cs="Arial"/>
          <w:lang w:eastAsia="en-US"/>
        </w:rPr>
        <w:t>and Accountability</w:t>
      </w:r>
      <w:r w:rsidR="003C5685">
        <w:rPr>
          <w:rFonts w:ascii="Arial" w:eastAsiaTheme="minorHAnsi" w:hAnsi="Arial" w:cs="Arial"/>
          <w:lang w:eastAsia="en-US"/>
        </w:rPr>
        <w:t xml:space="preserve"> Return for 2017/18.</w:t>
      </w:r>
    </w:p>
    <w:p w:rsidR="0020038B" w:rsidRPr="00EC3C53" w:rsidRDefault="00DE0B1A" w:rsidP="0020038B">
      <w:pPr>
        <w:spacing w:after="160" w:line="259" w:lineRule="auto"/>
        <w:rPr>
          <w:rFonts w:ascii="Arial" w:eastAsiaTheme="minorHAnsi" w:hAnsi="Arial" w:cs="Arial"/>
          <w:b/>
          <w:lang w:eastAsia="en-US"/>
        </w:rPr>
      </w:pPr>
      <w:r w:rsidRPr="00EC3C53">
        <w:rPr>
          <w:rFonts w:ascii="Arial" w:eastAsiaTheme="minorHAnsi" w:hAnsi="Arial" w:cs="Arial"/>
          <w:b/>
          <w:lang w:eastAsia="en-US"/>
        </w:rPr>
        <w:t>2.</w:t>
      </w:r>
      <w:r w:rsidRPr="00EC3C53">
        <w:rPr>
          <w:rFonts w:ascii="Arial" w:eastAsiaTheme="minorHAnsi" w:hAnsi="Arial" w:cs="Arial"/>
          <w:b/>
          <w:lang w:eastAsia="en-US"/>
        </w:rPr>
        <w:tab/>
      </w:r>
      <w:r w:rsidRPr="00EC3C53">
        <w:rPr>
          <w:rFonts w:ascii="Arial" w:eastAsiaTheme="minorHAnsi" w:hAnsi="Arial" w:cs="Arial"/>
          <w:b/>
          <w:u w:val="single"/>
          <w:lang w:eastAsia="en-US"/>
        </w:rPr>
        <w:t>BACKGROUND INFORMATION</w:t>
      </w:r>
      <w:r w:rsidRPr="00EC3C53">
        <w:rPr>
          <w:rFonts w:ascii="Arial" w:eastAsiaTheme="minorHAnsi" w:hAnsi="Arial" w:cs="Arial"/>
          <w:b/>
          <w:lang w:eastAsia="en-US"/>
        </w:rPr>
        <w:t xml:space="preserve"> </w:t>
      </w:r>
    </w:p>
    <w:p w:rsidR="00F37BDD" w:rsidRDefault="0020038B" w:rsidP="003C5685">
      <w:pPr>
        <w:spacing w:after="160" w:line="259" w:lineRule="auto"/>
        <w:ind w:left="720" w:hanging="720"/>
        <w:rPr>
          <w:rFonts w:ascii="Arial" w:eastAsiaTheme="minorHAnsi" w:hAnsi="Arial" w:cs="Arial"/>
          <w:lang w:eastAsia="en-US"/>
        </w:rPr>
      </w:pPr>
      <w:r w:rsidRPr="00EC3C53">
        <w:rPr>
          <w:rFonts w:ascii="Arial" w:eastAsiaTheme="minorHAnsi" w:hAnsi="Arial" w:cs="Arial"/>
          <w:lang w:eastAsia="en-US"/>
        </w:rPr>
        <w:t>2.1</w:t>
      </w:r>
      <w:r w:rsidRPr="00EC3C53">
        <w:rPr>
          <w:rFonts w:ascii="Arial" w:eastAsiaTheme="minorHAnsi" w:hAnsi="Arial" w:cs="Arial"/>
          <w:b/>
          <w:lang w:eastAsia="en-US"/>
        </w:rPr>
        <w:tab/>
      </w:r>
      <w:r w:rsidR="003C5685">
        <w:rPr>
          <w:rFonts w:ascii="Arial" w:eastAsiaTheme="minorHAnsi" w:hAnsi="Arial" w:cs="Arial"/>
          <w:lang w:eastAsia="en-US"/>
        </w:rPr>
        <w:t>The accounts are prepared by methods that comply with the standard accounting practices and are based on the following basic concepts:</w:t>
      </w:r>
    </w:p>
    <w:p w:rsidR="003C5685" w:rsidRDefault="003C5685" w:rsidP="003C5685">
      <w:pPr>
        <w:spacing w:after="160" w:line="259" w:lineRule="auto"/>
        <w:ind w:left="720" w:hanging="720"/>
        <w:rPr>
          <w:rFonts w:ascii="Arial" w:eastAsiaTheme="minorHAnsi" w:hAnsi="Arial" w:cs="Arial"/>
          <w:lang w:eastAsia="en-US"/>
        </w:rPr>
      </w:pPr>
      <w:r>
        <w:rPr>
          <w:rFonts w:ascii="Arial" w:eastAsiaTheme="minorHAnsi" w:hAnsi="Arial" w:cs="Arial"/>
          <w:lang w:eastAsia="en-US"/>
        </w:rPr>
        <w:tab/>
      </w:r>
      <w:r w:rsidRPr="003C5685">
        <w:rPr>
          <w:rFonts w:ascii="Arial" w:eastAsiaTheme="minorHAnsi" w:hAnsi="Arial" w:cs="Arial"/>
          <w:u w:val="single"/>
          <w:lang w:eastAsia="en-US"/>
        </w:rPr>
        <w:t>Going Concern</w:t>
      </w:r>
      <w:r>
        <w:rPr>
          <w:rFonts w:ascii="Arial" w:eastAsiaTheme="minorHAnsi" w:hAnsi="Arial" w:cs="Arial"/>
          <w:lang w:eastAsia="en-US"/>
        </w:rPr>
        <w:t xml:space="preserve"> – The accounts are prepared on the assumption that the Council will remain in existence for the foreseeable future. The alternative to this would be the ‘winding up’ basis which would value the assets at the level they could be sold for at the date of the accounts. </w:t>
      </w:r>
    </w:p>
    <w:p w:rsidR="003C5685" w:rsidRDefault="003C5685" w:rsidP="003C5685">
      <w:pPr>
        <w:spacing w:after="160" w:line="259" w:lineRule="auto"/>
        <w:ind w:left="720"/>
        <w:rPr>
          <w:rFonts w:ascii="Arial" w:eastAsiaTheme="minorHAnsi" w:hAnsi="Arial" w:cs="Arial"/>
          <w:lang w:eastAsia="en-US"/>
        </w:rPr>
      </w:pPr>
      <w:r w:rsidRPr="003C5685">
        <w:rPr>
          <w:rFonts w:ascii="Arial" w:eastAsiaTheme="minorHAnsi" w:hAnsi="Arial" w:cs="Arial"/>
          <w:u w:val="single"/>
          <w:lang w:eastAsia="en-US"/>
        </w:rPr>
        <w:t>The Matching Principle</w:t>
      </w:r>
      <w:r>
        <w:rPr>
          <w:rFonts w:ascii="Arial" w:eastAsiaTheme="minorHAnsi" w:hAnsi="Arial" w:cs="Arial"/>
          <w:lang w:eastAsia="en-US"/>
        </w:rPr>
        <w:t xml:space="preserve"> – Incomes or Benefits are matched to their associated costs and reported in the most appropriate financial period. </w:t>
      </w:r>
    </w:p>
    <w:p w:rsidR="003C5685" w:rsidRDefault="003C5685" w:rsidP="003C5685">
      <w:pPr>
        <w:spacing w:after="160" w:line="259" w:lineRule="auto"/>
        <w:ind w:left="720"/>
        <w:rPr>
          <w:rFonts w:ascii="Arial" w:eastAsiaTheme="minorHAnsi" w:hAnsi="Arial" w:cs="Arial"/>
          <w:lang w:eastAsia="en-US"/>
        </w:rPr>
      </w:pPr>
      <w:r>
        <w:rPr>
          <w:rFonts w:ascii="Arial" w:eastAsiaTheme="minorHAnsi" w:hAnsi="Arial" w:cs="Arial"/>
          <w:u w:val="single"/>
          <w:lang w:eastAsia="en-US"/>
        </w:rPr>
        <w:t xml:space="preserve">Consistency </w:t>
      </w:r>
      <w:r>
        <w:rPr>
          <w:rFonts w:ascii="Arial" w:eastAsiaTheme="minorHAnsi" w:hAnsi="Arial" w:cs="Arial"/>
          <w:lang w:eastAsia="en-US"/>
        </w:rPr>
        <w:t xml:space="preserve">– The same accounting principles are used and uniformly </w:t>
      </w:r>
      <w:r w:rsidR="00A11B2C">
        <w:rPr>
          <w:rFonts w:ascii="Arial" w:eastAsiaTheme="minorHAnsi" w:hAnsi="Arial" w:cs="Arial"/>
          <w:lang w:eastAsia="en-US"/>
        </w:rPr>
        <w:t>applied from one year to the next to ensure figures are comparable year on year.</w:t>
      </w:r>
    </w:p>
    <w:p w:rsidR="0085426B" w:rsidRPr="0085426B" w:rsidRDefault="00A11B2C" w:rsidP="0085426B">
      <w:pPr>
        <w:spacing w:after="160" w:line="259" w:lineRule="auto"/>
        <w:ind w:left="720"/>
        <w:rPr>
          <w:rFonts w:ascii="Arial" w:eastAsiaTheme="minorHAnsi" w:hAnsi="Arial" w:cs="Arial"/>
          <w:lang w:eastAsia="en-US"/>
        </w:rPr>
      </w:pPr>
      <w:r>
        <w:rPr>
          <w:rFonts w:ascii="Arial" w:eastAsiaTheme="minorHAnsi" w:hAnsi="Arial" w:cs="Arial"/>
          <w:u w:val="single"/>
          <w:lang w:eastAsia="en-US"/>
        </w:rPr>
        <w:t xml:space="preserve">Prudence </w:t>
      </w:r>
      <w:r>
        <w:rPr>
          <w:rFonts w:ascii="Arial" w:eastAsiaTheme="minorHAnsi" w:hAnsi="Arial" w:cs="Arial"/>
          <w:lang w:eastAsia="en-US"/>
        </w:rPr>
        <w:t xml:space="preserve">– Where alternative outcomes are possible the one which produces the lowest profit, lower asset value or higher liability is chosen. The prevents overstatement of profit or benefit. </w:t>
      </w:r>
    </w:p>
    <w:p w:rsidR="0085426B" w:rsidRDefault="0085426B" w:rsidP="0085426B">
      <w:pPr>
        <w:ind w:left="720" w:hanging="720"/>
        <w:rPr>
          <w:rFonts w:ascii="Arial" w:hAnsi="Arial" w:cs="Arial"/>
        </w:rPr>
      </w:pPr>
      <w:r>
        <w:rPr>
          <w:rFonts w:ascii="Arial" w:eastAsiaTheme="minorHAnsi" w:hAnsi="Arial" w:cs="Arial"/>
          <w:lang w:eastAsia="en-US"/>
        </w:rPr>
        <w:t>2.2</w:t>
      </w:r>
      <w:r>
        <w:rPr>
          <w:rFonts w:ascii="Arial" w:eastAsiaTheme="minorHAnsi" w:hAnsi="Arial" w:cs="Arial"/>
          <w:lang w:eastAsia="en-US"/>
        </w:rPr>
        <w:tab/>
      </w:r>
      <w:r>
        <w:rPr>
          <w:rFonts w:ascii="Arial" w:hAnsi="Arial" w:cs="Arial"/>
        </w:rPr>
        <w:t>The Council is subject to intermediate audit by PKF and have made minor modifications to the Annual Return, now know</w:t>
      </w:r>
      <w:r w:rsidR="00685D26">
        <w:rPr>
          <w:rFonts w:ascii="Arial" w:hAnsi="Arial" w:cs="Arial"/>
        </w:rPr>
        <w:t>n</w:t>
      </w:r>
      <w:r>
        <w:rPr>
          <w:rFonts w:ascii="Arial" w:hAnsi="Arial" w:cs="Arial"/>
        </w:rPr>
        <w:t xml:space="preserve"> as the Annual Gove</w:t>
      </w:r>
      <w:r w:rsidR="00685D26">
        <w:rPr>
          <w:rFonts w:ascii="Arial" w:hAnsi="Arial" w:cs="Arial"/>
        </w:rPr>
        <w:t>rnance and Accountability Return</w:t>
      </w:r>
      <w:r>
        <w:rPr>
          <w:rFonts w:ascii="Arial" w:hAnsi="Arial" w:cs="Arial"/>
        </w:rPr>
        <w:t xml:space="preserve">. </w:t>
      </w:r>
      <w:proofErr w:type="gramStart"/>
      <w:r>
        <w:rPr>
          <w:rFonts w:ascii="Arial" w:hAnsi="Arial" w:cs="Arial"/>
        </w:rPr>
        <w:t>The</w:t>
      </w:r>
      <w:proofErr w:type="gramEnd"/>
      <w:r>
        <w:rPr>
          <w:rFonts w:ascii="Arial" w:hAnsi="Arial" w:cs="Arial"/>
        </w:rPr>
        <w:t xml:space="preserve"> Council are asked to approve this statement and authorise the Chairman to sign the same. </w:t>
      </w:r>
    </w:p>
    <w:p w:rsidR="00F37BDD" w:rsidRPr="00EC3C53" w:rsidRDefault="00F37BDD" w:rsidP="00F37BDD">
      <w:pPr>
        <w:rPr>
          <w:rFonts w:ascii="Arial" w:eastAsiaTheme="minorHAnsi" w:hAnsi="Arial" w:cs="Arial"/>
          <w:lang w:eastAsia="en-US"/>
        </w:rPr>
      </w:pPr>
    </w:p>
    <w:p w:rsidR="00ED54FA" w:rsidRDefault="0020038B" w:rsidP="0020038B">
      <w:pPr>
        <w:rPr>
          <w:rFonts w:ascii="Arial" w:eastAsiaTheme="minorHAnsi" w:hAnsi="Arial" w:cs="Arial"/>
          <w:b/>
          <w:u w:val="single"/>
          <w:lang w:eastAsia="en-US"/>
        </w:rPr>
      </w:pPr>
      <w:r w:rsidRPr="00EC3C53">
        <w:rPr>
          <w:rFonts w:ascii="Arial" w:eastAsiaTheme="minorHAnsi" w:hAnsi="Arial" w:cs="Arial"/>
          <w:b/>
          <w:lang w:eastAsia="en-US"/>
        </w:rPr>
        <w:t>3.</w:t>
      </w:r>
      <w:r w:rsidRPr="00EC3C53">
        <w:rPr>
          <w:rFonts w:ascii="Arial" w:eastAsiaTheme="minorHAnsi" w:hAnsi="Arial" w:cs="Arial"/>
          <w:b/>
          <w:lang w:eastAsia="en-US"/>
        </w:rPr>
        <w:tab/>
      </w:r>
      <w:r w:rsidR="00A11B2C">
        <w:rPr>
          <w:rFonts w:ascii="Arial" w:eastAsiaTheme="minorHAnsi" w:hAnsi="Arial" w:cs="Arial"/>
          <w:b/>
          <w:u w:val="single"/>
          <w:lang w:eastAsia="en-US"/>
        </w:rPr>
        <w:t>YEAR END ACCOUNTING ADJUSTMENTS</w:t>
      </w:r>
    </w:p>
    <w:p w:rsidR="00A11B2C" w:rsidRDefault="00A11B2C" w:rsidP="0020038B">
      <w:pPr>
        <w:rPr>
          <w:rFonts w:ascii="Arial" w:eastAsiaTheme="minorHAnsi" w:hAnsi="Arial" w:cs="Arial"/>
          <w:b/>
          <w:lang w:eastAsia="en-US"/>
        </w:rPr>
      </w:pPr>
    </w:p>
    <w:p w:rsidR="00A11B2C" w:rsidRDefault="00A11B2C" w:rsidP="00A11B2C">
      <w:pPr>
        <w:ind w:left="720"/>
        <w:rPr>
          <w:rFonts w:ascii="Arial" w:eastAsiaTheme="minorHAnsi" w:hAnsi="Arial" w:cs="Arial"/>
          <w:lang w:eastAsia="en-US"/>
        </w:rPr>
      </w:pPr>
      <w:proofErr w:type="gramStart"/>
      <w:r w:rsidRPr="00A11B2C">
        <w:rPr>
          <w:rFonts w:ascii="Arial" w:eastAsiaTheme="minorHAnsi" w:hAnsi="Arial" w:cs="Arial"/>
          <w:lang w:eastAsia="en-US"/>
        </w:rPr>
        <w:t>A computerised accounting systems records transactions strictly by invoice date, date of payment or date of banking for receipts.</w:t>
      </w:r>
      <w:proofErr w:type="gramEnd"/>
      <w:r w:rsidRPr="00A11B2C">
        <w:rPr>
          <w:rFonts w:ascii="Arial" w:eastAsiaTheme="minorHAnsi" w:hAnsi="Arial" w:cs="Arial"/>
          <w:lang w:eastAsia="en-US"/>
        </w:rPr>
        <w:t xml:space="preserve"> Where this would cause an item to be reported in the wrong financial period a manual adjustment is required to correct the accounts. </w:t>
      </w:r>
    </w:p>
    <w:p w:rsidR="00A11B2C" w:rsidRDefault="00A11B2C" w:rsidP="00A11B2C">
      <w:pPr>
        <w:ind w:left="720"/>
        <w:rPr>
          <w:rFonts w:ascii="Arial" w:eastAsiaTheme="minorHAnsi" w:hAnsi="Arial" w:cs="Arial"/>
          <w:lang w:eastAsia="en-US"/>
        </w:rPr>
      </w:pPr>
    </w:p>
    <w:p w:rsidR="00A11B2C" w:rsidRDefault="00A11B2C" w:rsidP="00A11B2C">
      <w:pPr>
        <w:ind w:left="720"/>
        <w:rPr>
          <w:rFonts w:ascii="Arial" w:eastAsiaTheme="minorHAnsi" w:hAnsi="Arial" w:cs="Arial"/>
          <w:lang w:eastAsia="en-US"/>
        </w:rPr>
      </w:pPr>
      <w:r w:rsidRPr="00A11B2C">
        <w:rPr>
          <w:rFonts w:ascii="Arial" w:eastAsiaTheme="minorHAnsi" w:hAnsi="Arial" w:cs="Arial"/>
          <w:b/>
          <w:lang w:eastAsia="en-US"/>
        </w:rPr>
        <w:t xml:space="preserve">Prepayments </w:t>
      </w:r>
      <w:r>
        <w:rPr>
          <w:rFonts w:ascii="Arial" w:eastAsiaTheme="minorHAnsi" w:hAnsi="Arial" w:cs="Arial"/>
          <w:lang w:eastAsia="en-US"/>
        </w:rPr>
        <w:t xml:space="preserve">– where items are paid or invoiced in advance for a service which extends beyond the end of the financial year the cost must be split pro rata between the two financial periods. An example of this is the rents for St Luke’s Centre which are paid at various points during the financial year. </w:t>
      </w:r>
    </w:p>
    <w:p w:rsidR="00A11B2C" w:rsidRDefault="00A11B2C" w:rsidP="00A11B2C">
      <w:pPr>
        <w:ind w:left="720"/>
        <w:rPr>
          <w:rFonts w:ascii="Arial" w:eastAsiaTheme="minorHAnsi" w:hAnsi="Arial" w:cs="Arial"/>
          <w:lang w:eastAsia="en-US"/>
        </w:rPr>
      </w:pPr>
    </w:p>
    <w:p w:rsidR="00A11B2C" w:rsidRDefault="00A11B2C" w:rsidP="00A11B2C">
      <w:pPr>
        <w:ind w:left="720"/>
        <w:rPr>
          <w:rFonts w:ascii="Arial" w:eastAsiaTheme="minorHAnsi" w:hAnsi="Arial" w:cs="Arial"/>
          <w:lang w:eastAsia="en-US"/>
        </w:rPr>
      </w:pPr>
      <w:r>
        <w:rPr>
          <w:rFonts w:ascii="Arial" w:eastAsiaTheme="minorHAnsi" w:hAnsi="Arial" w:cs="Arial"/>
          <w:lang w:eastAsia="en-US"/>
        </w:rPr>
        <w:t>In the accounts for the year to 31</w:t>
      </w:r>
      <w:r w:rsidRPr="00A11B2C">
        <w:rPr>
          <w:rFonts w:ascii="Arial" w:eastAsiaTheme="minorHAnsi" w:hAnsi="Arial" w:cs="Arial"/>
          <w:vertAlign w:val="superscript"/>
          <w:lang w:eastAsia="en-US"/>
        </w:rPr>
        <w:t>st</w:t>
      </w:r>
      <w:r>
        <w:rPr>
          <w:rFonts w:ascii="Arial" w:eastAsiaTheme="minorHAnsi" w:hAnsi="Arial" w:cs="Arial"/>
          <w:lang w:eastAsia="en-US"/>
        </w:rPr>
        <w:t xml:space="preserve"> March 2018 the following adjustments were made:</w:t>
      </w:r>
    </w:p>
    <w:p w:rsidR="00A11B2C" w:rsidRDefault="00A11B2C" w:rsidP="00A11B2C">
      <w:pPr>
        <w:ind w:left="720"/>
        <w:rPr>
          <w:rFonts w:ascii="Arial" w:eastAsiaTheme="minorHAnsi" w:hAnsi="Arial" w:cs="Arial"/>
          <w:lang w:eastAsia="en-US"/>
        </w:rPr>
      </w:pPr>
    </w:p>
    <w:tbl>
      <w:tblPr>
        <w:tblStyle w:val="TableGrid"/>
        <w:tblW w:w="0" w:type="auto"/>
        <w:tblInd w:w="720" w:type="dxa"/>
        <w:tblLook w:val="04A0"/>
      </w:tblPr>
      <w:tblGrid>
        <w:gridCol w:w="2583"/>
        <w:gridCol w:w="2496"/>
        <w:gridCol w:w="2497"/>
      </w:tblGrid>
      <w:tr w:rsidR="00A11B2C" w:rsidTr="009E4DCE">
        <w:tc>
          <w:tcPr>
            <w:tcW w:w="2583" w:type="dxa"/>
          </w:tcPr>
          <w:p w:rsidR="00A11B2C" w:rsidRDefault="00A11B2C" w:rsidP="00A11B2C">
            <w:pPr>
              <w:rPr>
                <w:rFonts w:ascii="Arial" w:eastAsiaTheme="minorHAnsi" w:hAnsi="Arial" w:cs="Arial"/>
                <w:lang w:eastAsia="en-US"/>
              </w:rPr>
            </w:pPr>
            <w:r>
              <w:rPr>
                <w:rFonts w:ascii="Arial" w:eastAsiaTheme="minorHAnsi" w:hAnsi="Arial" w:cs="Arial"/>
                <w:lang w:eastAsia="en-US"/>
              </w:rPr>
              <w:t>Prepayments</w:t>
            </w:r>
          </w:p>
        </w:tc>
        <w:tc>
          <w:tcPr>
            <w:tcW w:w="2496" w:type="dxa"/>
          </w:tcPr>
          <w:p w:rsidR="00A11B2C" w:rsidRDefault="00DC16B6" w:rsidP="00A11B2C">
            <w:pPr>
              <w:rPr>
                <w:rFonts w:ascii="Arial" w:eastAsiaTheme="minorHAnsi" w:hAnsi="Arial" w:cs="Arial"/>
                <w:lang w:eastAsia="en-US"/>
              </w:rPr>
            </w:pPr>
            <w:r>
              <w:rPr>
                <w:rFonts w:ascii="Arial" w:eastAsiaTheme="minorHAnsi" w:hAnsi="Arial" w:cs="Arial"/>
                <w:lang w:eastAsia="en-US"/>
              </w:rPr>
              <w:t>2016/17</w:t>
            </w:r>
          </w:p>
          <w:p w:rsidR="005D5E20" w:rsidRDefault="005D5E20" w:rsidP="00A11B2C">
            <w:pPr>
              <w:rPr>
                <w:rFonts w:ascii="Arial" w:eastAsiaTheme="minorHAnsi" w:hAnsi="Arial" w:cs="Arial"/>
                <w:lang w:eastAsia="en-US"/>
              </w:rPr>
            </w:pPr>
            <w:r>
              <w:rPr>
                <w:rFonts w:ascii="Arial" w:eastAsiaTheme="minorHAnsi" w:hAnsi="Arial" w:cs="Arial"/>
                <w:lang w:eastAsia="en-US"/>
              </w:rPr>
              <w:t>£</w:t>
            </w:r>
          </w:p>
        </w:tc>
        <w:tc>
          <w:tcPr>
            <w:tcW w:w="2497" w:type="dxa"/>
          </w:tcPr>
          <w:p w:rsidR="00A11B2C" w:rsidRDefault="00A11B2C" w:rsidP="00A11B2C">
            <w:pPr>
              <w:rPr>
                <w:rFonts w:ascii="Arial" w:eastAsiaTheme="minorHAnsi" w:hAnsi="Arial" w:cs="Arial"/>
                <w:lang w:eastAsia="en-US"/>
              </w:rPr>
            </w:pPr>
            <w:r>
              <w:rPr>
                <w:rFonts w:ascii="Arial" w:eastAsiaTheme="minorHAnsi" w:hAnsi="Arial" w:cs="Arial"/>
                <w:lang w:eastAsia="en-US"/>
              </w:rPr>
              <w:t>201</w:t>
            </w:r>
            <w:r w:rsidR="00DC16B6">
              <w:rPr>
                <w:rFonts w:ascii="Arial" w:eastAsiaTheme="minorHAnsi" w:hAnsi="Arial" w:cs="Arial"/>
                <w:lang w:eastAsia="en-US"/>
              </w:rPr>
              <w:t>7</w:t>
            </w:r>
            <w:r>
              <w:rPr>
                <w:rFonts w:ascii="Arial" w:eastAsiaTheme="minorHAnsi" w:hAnsi="Arial" w:cs="Arial"/>
                <w:lang w:eastAsia="en-US"/>
              </w:rPr>
              <w:t>/1</w:t>
            </w:r>
            <w:r w:rsidR="00DC16B6">
              <w:rPr>
                <w:rFonts w:ascii="Arial" w:eastAsiaTheme="minorHAnsi" w:hAnsi="Arial" w:cs="Arial"/>
                <w:lang w:eastAsia="en-US"/>
              </w:rPr>
              <w:t>8</w:t>
            </w:r>
          </w:p>
          <w:p w:rsidR="005D5E20" w:rsidRDefault="005D5E20" w:rsidP="00A11B2C">
            <w:pPr>
              <w:rPr>
                <w:rFonts w:ascii="Arial" w:eastAsiaTheme="minorHAnsi" w:hAnsi="Arial" w:cs="Arial"/>
                <w:lang w:eastAsia="en-US"/>
              </w:rPr>
            </w:pPr>
            <w:r>
              <w:rPr>
                <w:rFonts w:ascii="Arial" w:eastAsiaTheme="minorHAnsi" w:hAnsi="Arial" w:cs="Arial"/>
                <w:lang w:eastAsia="en-US"/>
              </w:rPr>
              <w:t>£</w:t>
            </w:r>
          </w:p>
        </w:tc>
      </w:tr>
      <w:tr w:rsidR="00A11B2C" w:rsidTr="009E4DCE">
        <w:tc>
          <w:tcPr>
            <w:tcW w:w="2583" w:type="dxa"/>
          </w:tcPr>
          <w:p w:rsidR="00A11B2C" w:rsidRDefault="00DC16B6" w:rsidP="00A11B2C">
            <w:pPr>
              <w:rPr>
                <w:rFonts w:ascii="Arial" w:eastAsiaTheme="minorHAnsi" w:hAnsi="Arial" w:cs="Arial"/>
                <w:lang w:eastAsia="en-US"/>
              </w:rPr>
            </w:pPr>
            <w:r>
              <w:rPr>
                <w:rFonts w:ascii="Arial" w:eastAsiaTheme="minorHAnsi" w:hAnsi="Arial" w:cs="Arial"/>
                <w:lang w:eastAsia="en-US"/>
              </w:rPr>
              <w:t>BT Redcare Analogue Legacy</w:t>
            </w:r>
          </w:p>
        </w:tc>
        <w:tc>
          <w:tcPr>
            <w:tcW w:w="2496" w:type="dxa"/>
          </w:tcPr>
          <w:p w:rsidR="00A11B2C" w:rsidRDefault="00DC16B6" w:rsidP="00A11B2C">
            <w:pPr>
              <w:rPr>
                <w:rFonts w:ascii="Arial" w:eastAsiaTheme="minorHAnsi" w:hAnsi="Arial" w:cs="Arial"/>
                <w:lang w:eastAsia="en-US"/>
              </w:rPr>
            </w:pPr>
            <w:r>
              <w:rPr>
                <w:rFonts w:ascii="Arial" w:eastAsiaTheme="minorHAnsi" w:hAnsi="Arial" w:cs="Arial"/>
                <w:lang w:eastAsia="en-US"/>
              </w:rPr>
              <w:t>1</w:t>
            </w:r>
            <w:r w:rsidR="005D5E20">
              <w:rPr>
                <w:rFonts w:ascii="Arial" w:eastAsiaTheme="minorHAnsi" w:hAnsi="Arial" w:cs="Arial"/>
                <w:lang w:eastAsia="en-US"/>
              </w:rPr>
              <w:t>,</w:t>
            </w:r>
            <w:r>
              <w:rPr>
                <w:rFonts w:ascii="Arial" w:eastAsiaTheme="minorHAnsi" w:hAnsi="Arial" w:cs="Arial"/>
                <w:lang w:eastAsia="en-US"/>
              </w:rPr>
              <w:t>400</w:t>
            </w:r>
          </w:p>
        </w:tc>
        <w:tc>
          <w:tcPr>
            <w:tcW w:w="2497" w:type="dxa"/>
          </w:tcPr>
          <w:p w:rsidR="00A11B2C" w:rsidRDefault="00DC16B6" w:rsidP="00A11B2C">
            <w:pPr>
              <w:rPr>
                <w:rFonts w:ascii="Arial" w:eastAsiaTheme="minorHAnsi" w:hAnsi="Arial" w:cs="Arial"/>
                <w:lang w:eastAsia="en-US"/>
              </w:rPr>
            </w:pPr>
            <w:r>
              <w:rPr>
                <w:rFonts w:ascii="Arial" w:eastAsiaTheme="minorHAnsi" w:hAnsi="Arial" w:cs="Arial"/>
                <w:lang w:eastAsia="en-US"/>
              </w:rPr>
              <w:t xml:space="preserve">0 </w:t>
            </w:r>
            <w:r w:rsidRPr="00DC16B6">
              <w:rPr>
                <w:rFonts w:ascii="Arial" w:eastAsiaTheme="minorHAnsi" w:hAnsi="Arial" w:cs="Arial"/>
                <w:sz w:val="16"/>
                <w:szCs w:val="16"/>
                <w:lang w:eastAsia="en-US"/>
              </w:rPr>
              <w:t>(not paid 17/18)</w:t>
            </w:r>
          </w:p>
        </w:tc>
      </w:tr>
      <w:tr w:rsidR="00DC16B6" w:rsidTr="009E4DCE">
        <w:tc>
          <w:tcPr>
            <w:tcW w:w="2583" w:type="dxa"/>
          </w:tcPr>
          <w:p w:rsidR="00DC16B6" w:rsidRDefault="00DC16B6" w:rsidP="009E4DCE">
            <w:pPr>
              <w:rPr>
                <w:rFonts w:ascii="Arial" w:eastAsiaTheme="minorHAnsi" w:hAnsi="Arial" w:cs="Arial"/>
                <w:lang w:eastAsia="en-US"/>
              </w:rPr>
            </w:pPr>
            <w:r>
              <w:rPr>
                <w:rFonts w:ascii="Arial" w:eastAsiaTheme="minorHAnsi" w:hAnsi="Arial" w:cs="Arial"/>
                <w:lang w:eastAsia="en-US"/>
              </w:rPr>
              <w:t>Bee Tee Alarms 1/4/18 – 31/3/2019</w:t>
            </w:r>
          </w:p>
        </w:tc>
        <w:tc>
          <w:tcPr>
            <w:tcW w:w="2496" w:type="dxa"/>
          </w:tcPr>
          <w:p w:rsidR="00DC16B6" w:rsidRDefault="00DC16B6" w:rsidP="009E4DCE">
            <w:pPr>
              <w:rPr>
                <w:rFonts w:ascii="Arial" w:eastAsiaTheme="minorHAnsi" w:hAnsi="Arial" w:cs="Arial"/>
                <w:lang w:eastAsia="en-US"/>
              </w:rPr>
            </w:pPr>
            <w:r>
              <w:rPr>
                <w:rFonts w:ascii="Arial" w:eastAsiaTheme="minorHAnsi" w:hAnsi="Arial" w:cs="Arial"/>
                <w:lang w:eastAsia="en-US"/>
              </w:rPr>
              <w:t>1</w:t>
            </w:r>
            <w:r w:rsidR="005D5E20">
              <w:rPr>
                <w:rFonts w:ascii="Arial" w:eastAsiaTheme="minorHAnsi" w:hAnsi="Arial" w:cs="Arial"/>
                <w:lang w:eastAsia="en-US"/>
              </w:rPr>
              <w:t>,</w:t>
            </w:r>
            <w:r>
              <w:rPr>
                <w:rFonts w:ascii="Arial" w:eastAsiaTheme="minorHAnsi" w:hAnsi="Arial" w:cs="Arial"/>
                <w:lang w:eastAsia="en-US"/>
              </w:rPr>
              <w:t>205</w:t>
            </w:r>
          </w:p>
        </w:tc>
        <w:tc>
          <w:tcPr>
            <w:tcW w:w="2497" w:type="dxa"/>
          </w:tcPr>
          <w:p w:rsidR="00DC16B6" w:rsidRDefault="00DC16B6" w:rsidP="009E4DCE">
            <w:pPr>
              <w:rPr>
                <w:rFonts w:ascii="Arial" w:eastAsiaTheme="minorHAnsi" w:hAnsi="Arial" w:cs="Arial"/>
                <w:lang w:eastAsia="en-US"/>
              </w:rPr>
            </w:pPr>
            <w:r>
              <w:rPr>
                <w:rFonts w:ascii="Arial" w:eastAsiaTheme="minorHAnsi" w:hAnsi="Arial" w:cs="Arial"/>
                <w:lang w:eastAsia="en-US"/>
              </w:rPr>
              <w:t>1</w:t>
            </w:r>
            <w:r w:rsidR="005D5E20">
              <w:rPr>
                <w:rFonts w:ascii="Arial" w:eastAsiaTheme="minorHAnsi" w:hAnsi="Arial" w:cs="Arial"/>
                <w:lang w:eastAsia="en-US"/>
              </w:rPr>
              <w:t>,</w:t>
            </w:r>
            <w:r>
              <w:rPr>
                <w:rFonts w:ascii="Arial" w:eastAsiaTheme="minorHAnsi" w:hAnsi="Arial" w:cs="Arial"/>
                <w:lang w:eastAsia="en-US"/>
              </w:rPr>
              <w:t>229</w:t>
            </w:r>
          </w:p>
        </w:tc>
      </w:tr>
      <w:tr w:rsidR="00DC16B6" w:rsidTr="009E4DCE">
        <w:tc>
          <w:tcPr>
            <w:tcW w:w="2583" w:type="dxa"/>
          </w:tcPr>
          <w:p w:rsidR="00DC16B6" w:rsidRDefault="00DC16B6" w:rsidP="009E4DCE">
            <w:pPr>
              <w:rPr>
                <w:rFonts w:ascii="Arial" w:eastAsiaTheme="minorHAnsi" w:hAnsi="Arial" w:cs="Arial"/>
                <w:lang w:eastAsia="en-US"/>
              </w:rPr>
            </w:pPr>
            <w:r>
              <w:rPr>
                <w:rFonts w:ascii="Arial" w:eastAsiaTheme="minorHAnsi" w:hAnsi="Arial" w:cs="Arial"/>
                <w:lang w:eastAsia="en-US"/>
              </w:rPr>
              <w:t>Came and Co Insurance</w:t>
            </w:r>
          </w:p>
        </w:tc>
        <w:tc>
          <w:tcPr>
            <w:tcW w:w="2496" w:type="dxa"/>
          </w:tcPr>
          <w:p w:rsidR="00DC16B6" w:rsidRDefault="00DC16B6" w:rsidP="009E4DCE">
            <w:pPr>
              <w:rPr>
                <w:rFonts w:ascii="Arial" w:eastAsiaTheme="minorHAnsi" w:hAnsi="Arial" w:cs="Arial"/>
                <w:lang w:eastAsia="en-US"/>
              </w:rPr>
            </w:pPr>
            <w:r>
              <w:rPr>
                <w:rFonts w:ascii="Arial" w:eastAsiaTheme="minorHAnsi" w:hAnsi="Arial" w:cs="Arial"/>
                <w:lang w:eastAsia="en-US"/>
              </w:rPr>
              <w:t>5</w:t>
            </w:r>
            <w:r w:rsidR="005D5E20">
              <w:rPr>
                <w:rFonts w:ascii="Arial" w:eastAsiaTheme="minorHAnsi" w:hAnsi="Arial" w:cs="Arial"/>
                <w:lang w:eastAsia="en-US"/>
              </w:rPr>
              <w:t>,</w:t>
            </w:r>
            <w:r>
              <w:rPr>
                <w:rFonts w:ascii="Arial" w:eastAsiaTheme="minorHAnsi" w:hAnsi="Arial" w:cs="Arial"/>
                <w:lang w:eastAsia="en-US"/>
              </w:rPr>
              <w:t>546</w:t>
            </w:r>
          </w:p>
        </w:tc>
        <w:tc>
          <w:tcPr>
            <w:tcW w:w="2497" w:type="dxa"/>
          </w:tcPr>
          <w:p w:rsidR="00DC16B6" w:rsidRDefault="00DC16B6" w:rsidP="009E4DCE">
            <w:pPr>
              <w:rPr>
                <w:rFonts w:ascii="Arial" w:eastAsiaTheme="minorHAnsi" w:hAnsi="Arial" w:cs="Arial"/>
                <w:lang w:eastAsia="en-US"/>
              </w:rPr>
            </w:pPr>
            <w:r>
              <w:rPr>
                <w:rFonts w:ascii="Arial" w:eastAsiaTheme="minorHAnsi" w:hAnsi="Arial" w:cs="Arial"/>
                <w:lang w:eastAsia="en-US"/>
              </w:rPr>
              <w:t>5</w:t>
            </w:r>
            <w:r w:rsidR="005D5E20">
              <w:rPr>
                <w:rFonts w:ascii="Arial" w:eastAsiaTheme="minorHAnsi" w:hAnsi="Arial" w:cs="Arial"/>
                <w:lang w:eastAsia="en-US"/>
              </w:rPr>
              <w:t>,</w:t>
            </w:r>
            <w:r>
              <w:rPr>
                <w:rFonts w:ascii="Arial" w:eastAsiaTheme="minorHAnsi" w:hAnsi="Arial" w:cs="Arial"/>
                <w:lang w:eastAsia="en-US"/>
              </w:rPr>
              <w:t>600</w:t>
            </w:r>
          </w:p>
        </w:tc>
      </w:tr>
      <w:tr w:rsidR="00DC16B6" w:rsidTr="009E4DCE">
        <w:tc>
          <w:tcPr>
            <w:tcW w:w="2583" w:type="dxa"/>
          </w:tcPr>
          <w:p w:rsidR="00DC16B6" w:rsidRDefault="00DC16B6" w:rsidP="009E4DCE">
            <w:pPr>
              <w:rPr>
                <w:rFonts w:ascii="Arial" w:eastAsiaTheme="minorHAnsi" w:hAnsi="Arial" w:cs="Arial"/>
                <w:lang w:eastAsia="en-US"/>
              </w:rPr>
            </w:pPr>
            <w:r>
              <w:rPr>
                <w:rFonts w:ascii="Arial" w:eastAsiaTheme="minorHAnsi" w:hAnsi="Arial" w:cs="Arial"/>
                <w:lang w:eastAsia="en-US"/>
              </w:rPr>
              <w:t>Came and Co Vehicle Insurance</w:t>
            </w:r>
          </w:p>
        </w:tc>
        <w:tc>
          <w:tcPr>
            <w:tcW w:w="2496" w:type="dxa"/>
          </w:tcPr>
          <w:p w:rsidR="00DC16B6" w:rsidRDefault="00DC16B6" w:rsidP="009E4DCE">
            <w:pPr>
              <w:rPr>
                <w:rFonts w:ascii="Arial" w:eastAsiaTheme="minorHAnsi" w:hAnsi="Arial" w:cs="Arial"/>
                <w:lang w:eastAsia="en-US"/>
              </w:rPr>
            </w:pPr>
            <w:r>
              <w:rPr>
                <w:rFonts w:ascii="Arial" w:eastAsiaTheme="minorHAnsi" w:hAnsi="Arial" w:cs="Arial"/>
                <w:lang w:eastAsia="en-US"/>
              </w:rPr>
              <w:t>365</w:t>
            </w:r>
          </w:p>
        </w:tc>
        <w:tc>
          <w:tcPr>
            <w:tcW w:w="2497" w:type="dxa"/>
          </w:tcPr>
          <w:p w:rsidR="00DC16B6" w:rsidRDefault="00DC16B6" w:rsidP="009E4DCE">
            <w:pPr>
              <w:rPr>
                <w:rFonts w:ascii="Arial" w:eastAsiaTheme="minorHAnsi" w:hAnsi="Arial" w:cs="Arial"/>
                <w:lang w:eastAsia="en-US"/>
              </w:rPr>
            </w:pPr>
            <w:r>
              <w:rPr>
                <w:rFonts w:ascii="Arial" w:eastAsiaTheme="minorHAnsi" w:hAnsi="Arial" w:cs="Arial"/>
                <w:lang w:eastAsia="en-US"/>
              </w:rPr>
              <w:t>355</w:t>
            </w:r>
          </w:p>
        </w:tc>
      </w:tr>
      <w:tr w:rsidR="00DC16B6" w:rsidTr="009E4DCE">
        <w:tc>
          <w:tcPr>
            <w:tcW w:w="2583" w:type="dxa"/>
          </w:tcPr>
          <w:p w:rsidR="00DC16B6" w:rsidRDefault="00DC16B6" w:rsidP="009E4DCE">
            <w:pPr>
              <w:rPr>
                <w:rFonts w:ascii="Arial" w:eastAsiaTheme="minorHAnsi" w:hAnsi="Arial" w:cs="Arial"/>
                <w:lang w:eastAsia="en-US"/>
              </w:rPr>
            </w:pPr>
            <w:r>
              <w:rPr>
                <w:rFonts w:ascii="Arial" w:eastAsiaTheme="minorHAnsi" w:hAnsi="Arial" w:cs="Arial"/>
                <w:lang w:eastAsia="en-US"/>
              </w:rPr>
              <w:t xml:space="preserve">RBS Omega system 18/19 maintenance </w:t>
            </w:r>
          </w:p>
        </w:tc>
        <w:tc>
          <w:tcPr>
            <w:tcW w:w="2496" w:type="dxa"/>
          </w:tcPr>
          <w:p w:rsidR="00DC16B6" w:rsidRDefault="00DC16B6" w:rsidP="009E4DCE">
            <w:pPr>
              <w:rPr>
                <w:rFonts w:ascii="Arial" w:eastAsiaTheme="minorHAnsi" w:hAnsi="Arial" w:cs="Arial"/>
                <w:lang w:eastAsia="en-US"/>
              </w:rPr>
            </w:pPr>
            <w:r>
              <w:rPr>
                <w:rFonts w:ascii="Arial" w:eastAsiaTheme="minorHAnsi" w:hAnsi="Arial" w:cs="Arial"/>
                <w:lang w:eastAsia="en-US"/>
              </w:rPr>
              <w:t xml:space="preserve">0 </w:t>
            </w:r>
            <w:r w:rsidRPr="00DC16B6">
              <w:rPr>
                <w:rFonts w:ascii="Arial" w:eastAsiaTheme="minorHAnsi" w:hAnsi="Arial" w:cs="Arial"/>
                <w:sz w:val="16"/>
                <w:szCs w:val="16"/>
                <w:lang w:eastAsia="en-US"/>
              </w:rPr>
              <w:t>(not invoiced March 2017)</w:t>
            </w:r>
          </w:p>
        </w:tc>
        <w:tc>
          <w:tcPr>
            <w:tcW w:w="2497" w:type="dxa"/>
          </w:tcPr>
          <w:p w:rsidR="00DC16B6" w:rsidRDefault="00DC16B6" w:rsidP="009E4DCE">
            <w:pPr>
              <w:rPr>
                <w:rFonts w:ascii="Arial" w:eastAsiaTheme="minorHAnsi" w:hAnsi="Arial" w:cs="Arial"/>
                <w:lang w:eastAsia="en-US"/>
              </w:rPr>
            </w:pPr>
            <w:r>
              <w:rPr>
                <w:rFonts w:ascii="Arial" w:eastAsiaTheme="minorHAnsi" w:hAnsi="Arial" w:cs="Arial"/>
                <w:lang w:eastAsia="en-US"/>
              </w:rPr>
              <w:t>765</w:t>
            </w:r>
          </w:p>
        </w:tc>
      </w:tr>
      <w:tr w:rsidR="00DC16B6" w:rsidTr="009E4DCE">
        <w:tc>
          <w:tcPr>
            <w:tcW w:w="2583" w:type="dxa"/>
          </w:tcPr>
          <w:p w:rsidR="00DC16B6" w:rsidRDefault="00DC16B6" w:rsidP="009E4DCE">
            <w:pPr>
              <w:rPr>
                <w:rFonts w:ascii="Arial" w:eastAsiaTheme="minorHAnsi" w:hAnsi="Arial" w:cs="Arial"/>
                <w:lang w:eastAsia="en-US"/>
              </w:rPr>
            </w:pPr>
            <w:r>
              <w:rPr>
                <w:rFonts w:ascii="Arial" w:eastAsiaTheme="minorHAnsi" w:hAnsi="Arial" w:cs="Arial"/>
                <w:lang w:eastAsia="en-US"/>
              </w:rPr>
              <w:t xml:space="preserve">RBS Booking system 18/19 maintenance </w:t>
            </w:r>
          </w:p>
        </w:tc>
        <w:tc>
          <w:tcPr>
            <w:tcW w:w="2496" w:type="dxa"/>
          </w:tcPr>
          <w:p w:rsidR="00DC16B6" w:rsidRDefault="00DC16B6" w:rsidP="009E4DCE">
            <w:pPr>
              <w:rPr>
                <w:rFonts w:ascii="Arial" w:eastAsiaTheme="minorHAnsi" w:hAnsi="Arial" w:cs="Arial"/>
                <w:lang w:eastAsia="en-US"/>
              </w:rPr>
            </w:pPr>
            <w:r>
              <w:rPr>
                <w:rFonts w:ascii="Arial" w:eastAsiaTheme="minorHAnsi" w:hAnsi="Arial" w:cs="Arial"/>
                <w:lang w:eastAsia="en-US"/>
              </w:rPr>
              <w:t xml:space="preserve">0 </w:t>
            </w:r>
            <w:r w:rsidRPr="00DC16B6">
              <w:rPr>
                <w:rFonts w:ascii="Arial" w:eastAsiaTheme="minorHAnsi" w:hAnsi="Arial" w:cs="Arial"/>
                <w:sz w:val="16"/>
                <w:szCs w:val="16"/>
                <w:lang w:eastAsia="en-US"/>
              </w:rPr>
              <w:t>(not invoiced March 2017)</w:t>
            </w:r>
          </w:p>
        </w:tc>
        <w:tc>
          <w:tcPr>
            <w:tcW w:w="2497" w:type="dxa"/>
          </w:tcPr>
          <w:p w:rsidR="00DC16B6" w:rsidRDefault="00DC16B6" w:rsidP="009E4DCE">
            <w:pPr>
              <w:rPr>
                <w:rFonts w:ascii="Arial" w:eastAsiaTheme="minorHAnsi" w:hAnsi="Arial" w:cs="Arial"/>
                <w:lang w:eastAsia="en-US"/>
              </w:rPr>
            </w:pPr>
            <w:r>
              <w:rPr>
                <w:rFonts w:ascii="Arial" w:eastAsiaTheme="minorHAnsi" w:hAnsi="Arial" w:cs="Arial"/>
                <w:lang w:eastAsia="en-US"/>
              </w:rPr>
              <w:t>275</w:t>
            </w:r>
          </w:p>
        </w:tc>
      </w:tr>
      <w:tr w:rsidR="00DC16B6" w:rsidTr="009E4DCE">
        <w:tc>
          <w:tcPr>
            <w:tcW w:w="2583" w:type="dxa"/>
          </w:tcPr>
          <w:p w:rsidR="00DC16B6" w:rsidRDefault="005D5E20" w:rsidP="009E4DCE">
            <w:pPr>
              <w:rPr>
                <w:rFonts w:ascii="Arial" w:eastAsiaTheme="minorHAnsi" w:hAnsi="Arial" w:cs="Arial"/>
                <w:lang w:eastAsia="en-US"/>
              </w:rPr>
            </w:pPr>
            <w:r>
              <w:rPr>
                <w:rFonts w:ascii="Arial" w:eastAsiaTheme="minorHAnsi" w:hAnsi="Arial" w:cs="Arial"/>
                <w:lang w:eastAsia="en-US"/>
              </w:rPr>
              <w:t xml:space="preserve">Marquee Deposit (event July 18) </w:t>
            </w:r>
          </w:p>
        </w:tc>
        <w:tc>
          <w:tcPr>
            <w:tcW w:w="2496" w:type="dxa"/>
          </w:tcPr>
          <w:p w:rsidR="00DC16B6" w:rsidRDefault="005D5E20" w:rsidP="009E4DCE">
            <w:pPr>
              <w:rPr>
                <w:rFonts w:ascii="Arial" w:eastAsiaTheme="minorHAnsi" w:hAnsi="Arial" w:cs="Arial"/>
                <w:lang w:eastAsia="en-US"/>
              </w:rPr>
            </w:pPr>
            <w:r>
              <w:rPr>
                <w:rFonts w:ascii="Arial" w:eastAsiaTheme="minorHAnsi" w:hAnsi="Arial" w:cs="Arial"/>
                <w:lang w:eastAsia="en-US"/>
              </w:rPr>
              <w:t>546</w:t>
            </w:r>
          </w:p>
        </w:tc>
        <w:tc>
          <w:tcPr>
            <w:tcW w:w="2497" w:type="dxa"/>
          </w:tcPr>
          <w:p w:rsidR="00DC16B6" w:rsidRDefault="005D5E20" w:rsidP="009E4DCE">
            <w:pPr>
              <w:rPr>
                <w:rFonts w:ascii="Arial" w:eastAsiaTheme="minorHAnsi" w:hAnsi="Arial" w:cs="Arial"/>
                <w:lang w:eastAsia="en-US"/>
              </w:rPr>
            </w:pPr>
            <w:r>
              <w:rPr>
                <w:rFonts w:ascii="Arial" w:eastAsiaTheme="minorHAnsi" w:hAnsi="Arial" w:cs="Arial"/>
                <w:lang w:eastAsia="en-US"/>
              </w:rPr>
              <w:t>140</w:t>
            </w:r>
          </w:p>
        </w:tc>
      </w:tr>
      <w:tr w:rsidR="005D5E20" w:rsidTr="009E4DCE">
        <w:tc>
          <w:tcPr>
            <w:tcW w:w="2583" w:type="dxa"/>
          </w:tcPr>
          <w:p w:rsidR="005D5E20" w:rsidRDefault="005D5E20" w:rsidP="009E4DCE">
            <w:pPr>
              <w:rPr>
                <w:rFonts w:ascii="Arial" w:eastAsiaTheme="minorHAnsi" w:hAnsi="Arial" w:cs="Arial"/>
                <w:lang w:eastAsia="en-US"/>
              </w:rPr>
            </w:pPr>
            <w:r>
              <w:rPr>
                <w:rFonts w:ascii="Arial" w:eastAsiaTheme="minorHAnsi" w:hAnsi="Arial" w:cs="Arial"/>
                <w:lang w:eastAsia="en-US"/>
              </w:rPr>
              <w:t xml:space="preserve">EPOS system in deposit and in advance </w:t>
            </w:r>
          </w:p>
        </w:tc>
        <w:tc>
          <w:tcPr>
            <w:tcW w:w="2496" w:type="dxa"/>
          </w:tcPr>
          <w:p w:rsidR="005D5E20" w:rsidRDefault="005D5E20" w:rsidP="009E4DCE">
            <w:pPr>
              <w:rPr>
                <w:rFonts w:ascii="Arial" w:eastAsiaTheme="minorHAnsi" w:hAnsi="Arial" w:cs="Arial"/>
                <w:lang w:eastAsia="en-US"/>
              </w:rPr>
            </w:pPr>
            <w:r>
              <w:rPr>
                <w:rFonts w:ascii="Arial" w:eastAsiaTheme="minorHAnsi" w:hAnsi="Arial" w:cs="Arial"/>
                <w:lang w:eastAsia="en-US"/>
              </w:rPr>
              <w:t>105</w:t>
            </w:r>
          </w:p>
        </w:tc>
        <w:tc>
          <w:tcPr>
            <w:tcW w:w="2497" w:type="dxa"/>
          </w:tcPr>
          <w:p w:rsidR="005D5E20" w:rsidRDefault="005D5E20" w:rsidP="009E4DCE">
            <w:pPr>
              <w:rPr>
                <w:rFonts w:ascii="Arial" w:eastAsiaTheme="minorHAnsi" w:hAnsi="Arial" w:cs="Arial"/>
                <w:lang w:eastAsia="en-US"/>
              </w:rPr>
            </w:pPr>
            <w:r>
              <w:rPr>
                <w:rFonts w:ascii="Arial" w:eastAsiaTheme="minorHAnsi" w:hAnsi="Arial" w:cs="Arial"/>
                <w:lang w:eastAsia="en-US"/>
              </w:rPr>
              <w:t xml:space="preserve">0 </w:t>
            </w:r>
            <w:r w:rsidRPr="005D5E20">
              <w:rPr>
                <w:rFonts w:ascii="Arial" w:eastAsiaTheme="minorHAnsi" w:hAnsi="Arial" w:cs="Arial"/>
                <w:sz w:val="16"/>
                <w:szCs w:val="16"/>
                <w:lang w:eastAsia="en-US"/>
              </w:rPr>
              <w:t>(system no longer in place)</w:t>
            </w:r>
          </w:p>
        </w:tc>
      </w:tr>
      <w:tr w:rsidR="005D5E20" w:rsidTr="009E4DCE">
        <w:tc>
          <w:tcPr>
            <w:tcW w:w="2583" w:type="dxa"/>
          </w:tcPr>
          <w:p w:rsidR="005D5E20" w:rsidRDefault="005D5E20" w:rsidP="009E4DCE">
            <w:pPr>
              <w:rPr>
                <w:rFonts w:ascii="Arial" w:eastAsiaTheme="minorHAnsi" w:hAnsi="Arial" w:cs="Arial"/>
                <w:lang w:eastAsia="en-US"/>
              </w:rPr>
            </w:pPr>
            <w:r>
              <w:rPr>
                <w:rFonts w:ascii="Arial" w:eastAsiaTheme="minorHAnsi" w:hAnsi="Arial" w:cs="Arial"/>
                <w:lang w:eastAsia="en-US"/>
              </w:rPr>
              <w:t>Subs in advance SLCC</w:t>
            </w:r>
          </w:p>
        </w:tc>
        <w:tc>
          <w:tcPr>
            <w:tcW w:w="2496" w:type="dxa"/>
          </w:tcPr>
          <w:p w:rsidR="005D5E20" w:rsidRDefault="005D5E20" w:rsidP="009E4DCE">
            <w:pPr>
              <w:rPr>
                <w:rFonts w:ascii="Arial" w:eastAsiaTheme="minorHAnsi" w:hAnsi="Arial" w:cs="Arial"/>
                <w:lang w:eastAsia="en-US"/>
              </w:rPr>
            </w:pPr>
            <w:r>
              <w:rPr>
                <w:rFonts w:ascii="Arial" w:eastAsiaTheme="minorHAnsi" w:hAnsi="Arial" w:cs="Arial"/>
                <w:lang w:eastAsia="en-US"/>
              </w:rPr>
              <w:t>0</w:t>
            </w:r>
          </w:p>
        </w:tc>
        <w:tc>
          <w:tcPr>
            <w:tcW w:w="2497" w:type="dxa"/>
          </w:tcPr>
          <w:p w:rsidR="005D5E20" w:rsidRDefault="005D5E20" w:rsidP="009E4DCE">
            <w:pPr>
              <w:rPr>
                <w:rFonts w:ascii="Arial" w:eastAsiaTheme="minorHAnsi" w:hAnsi="Arial" w:cs="Arial"/>
                <w:lang w:eastAsia="en-US"/>
              </w:rPr>
            </w:pPr>
            <w:r>
              <w:rPr>
                <w:rFonts w:ascii="Arial" w:eastAsiaTheme="minorHAnsi" w:hAnsi="Arial" w:cs="Arial"/>
                <w:lang w:eastAsia="en-US"/>
              </w:rPr>
              <w:t>381</w:t>
            </w:r>
          </w:p>
        </w:tc>
      </w:tr>
      <w:tr w:rsidR="005D5E20" w:rsidTr="009E4DCE">
        <w:tc>
          <w:tcPr>
            <w:tcW w:w="2583" w:type="dxa"/>
          </w:tcPr>
          <w:p w:rsidR="005D5E20" w:rsidRDefault="005D5E20" w:rsidP="009E4DCE">
            <w:pPr>
              <w:rPr>
                <w:rFonts w:ascii="Arial" w:eastAsiaTheme="minorHAnsi" w:hAnsi="Arial" w:cs="Arial"/>
                <w:lang w:eastAsia="en-US"/>
              </w:rPr>
            </w:pPr>
            <w:r>
              <w:rPr>
                <w:rFonts w:ascii="Arial" w:eastAsiaTheme="minorHAnsi" w:hAnsi="Arial" w:cs="Arial"/>
                <w:lang w:eastAsia="en-US"/>
              </w:rPr>
              <w:t>Utilities to be recharged to tenants</w:t>
            </w:r>
          </w:p>
        </w:tc>
        <w:tc>
          <w:tcPr>
            <w:tcW w:w="2496" w:type="dxa"/>
          </w:tcPr>
          <w:p w:rsidR="005D5E20" w:rsidRDefault="005D5E20" w:rsidP="009E4DCE">
            <w:pPr>
              <w:rPr>
                <w:rFonts w:ascii="Arial" w:eastAsiaTheme="minorHAnsi" w:hAnsi="Arial" w:cs="Arial"/>
                <w:lang w:eastAsia="en-US"/>
              </w:rPr>
            </w:pPr>
            <w:r>
              <w:rPr>
                <w:rFonts w:ascii="Arial" w:eastAsiaTheme="minorHAnsi" w:hAnsi="Arial" w:cs="Arial"/>
                <w:lang w:eastAsia="en-US"/>
              </w:rPr>
              <w:t>1,599</w:t>
            </w:r>
          </w:p>
        </w:tc>
        <w:tc>
          <w:tcPr>
            <w:tcW w:w="2497" w:type="dxa"/>
          </w:tcPr>
          <w:p w:rsidR="005D5E20" w:rsidRDefault="005D5E20" w:rsidP="009E4DCE">
            <w:pPr>
              <w:rPr>
                <w:rFonts w:ascii="Arial" w:eastAsiaTheme="minorHAnsi" w:hAnsi="Arial" w:cs="Arial"/>
                <w:lang w:eastAsia="en-US"/>
              </w:rPr>
            </w:pPr>
            <w:r>
              <w:rPr>
                <w:rFonts w:ascii="Arial" w:eastAsiaTheme="minorHAnsi" w:hAnsi="Arial" w:cs="Arial"/>
                <w:lang w:eastAsia="en-US"/>
              </w:rPr>
              <w:t>2,714</w:t>
            </w:r>
          </w:p>
        </w:tc>
      </w:tr>
      <w:tr w:rsidR="009E4DCE" w:rsidTr="009E4DCE">
        <w:tc>
          <w:tcPr>
            <w:tcW w:w="2583" w:type="dxa"/>
          </w:tcPr>
          <w:p w:rsidR="009E4DCE" w:rsidRPr="003F2DA2" w:rsidRDefault="009E4DCE" w:rsidP="009E4DCE">
            <w:pPr>
              <w:rPr>
                <w:rFonts w:ascii="Arial" w:eastAsiaTheme="minorHAnsi" w:hAnsi="Arial" w:cs="Arial"/>
                <w:b/>
                <w:lang w:eastAsia="en-US"/>
              </w:rPr>
            </w:pPr>
            <w:r w:rsidRPr="003F2DA2">
              <w:rPr>
                <w:rFonts w:ascii="Arial" w:eastAsiaTheme="minorHAnsi" w:hAnsi="Arial" w:cs="Arial"/>
                <w:b/>
                <w:lang w:eastAsia="en-US"/>
              </w:rPr>
              <w:t>TOTAL</w:t>
            </w:r>
          </w:p>
        </w:tc>
        <w:tc>
          <w:tcPr>
            <w:tcW w:w="2496" w:type="dxa"/>
          </w:tcPr>
          <w:p w:rsidR="009E4DCE" w:rsidRDefault="005D5E20" w:rsidP="009E4DCE">
            <w:pPr>
              <w:rPr>
                <w:rFonts w:ascii="Arial" w:eastAsiaTheme="minorHAnsi" w:hAnsi="Arial" w:cs="Arial"/>
                <w:lang w:eastAsia="en-US"/>
              </w:rPr>
            </w:pPr>
            <w:r>
              <w:rPr>
                <w:rFonts w:ascii="Arial" w:eastAsiaTheme="minorHAnsi" w:hAnsi="Arial" w:cs="Arial"/>
                <w:lang w:eastAsia="en-US"/>
              </w:rPr>
              <w:t>10,766</w:t>
            </w:r>
          </w:p>
        </w:tc>
        <w:tc>
          <w:tcPr>
            <w:tcW w:w="2497" w:type="dxa"/>
          </w:tcPr>
          <w:p w:rsidR="009E4DCE" w:rsidRDefault="005D5E20" w:rsidP="009E4DCE">
            <w:pPr>
              <w:rPr>
                <w:rFonts w:ascii="Arial" w:eastAsiaTheme="minorHAnsi" w:hAnsi="Arial" w:cs="Arial"/>
                <w:lang w:eastAsia="en-US"/>
              </w:rPr>
            </w:pPr>
            <w:r>
              <w:rPr>
                <w:rFonts w:ascii="Arial" w:eastAsiaTheme="minorHAnsi" w:hAnsi="Arial" w:cs="Arial"/>
                <w:lang w:eastAsia="en-US"/>
              </w:rPr>
              <w:t>11,459</w:t>
            </w:r>
          </w:p>
        </w:tc>
      </w:tr>
    </w:tbl>
    <w:p w:rsidR="00A11B2C" w:rsidRPr="00A11B2C" w:rsidRDefault="00A11B2C" w:rsidP="00A11B2C">
      <w:pPr>
        <w:ind w:left="720"/>
        <w:rPr>
          <w:rFonts w:ascii="Arial" w:eastAsiaTheme="minorHAnsi" w:hAnsi="Arial" w:cs="Arial"/>
          <w:lang w:eastAsia="en-US"/>
        </w:rPr>
      </w:pPr>
    </w:p>
    <w:p w:rsidR="00A11B2C" w:rsidRDefault="00A11B2C" w:rsidP="00016B30">
      <w:pPr>
        <w:rPr>
          <w:rFonts w:ascii="Arial" w:hAnsi="Arial" w:cs="Arial"/>
        </w:rPr>
      </w:pPr>
    </w:p>
    <w:p w:rsidR="00813CF3" w:rsidRDefault="00813CF3" w:rsidP="00813CF3">
      <w:pPr>
        <w:ind w:left="720"/>
        <w:rPr>
          <w:rFonts w:ascii="Arial" w:hAnsi="Arial" w:cs="Arial"/>
        </w:rPr>
      </w:pPr>
      <w:r w:rsidRPr="00813CF3">
        <w:rPr>
          <w:rFonts w:ascii="Arial" w:hAnsi="Arial" w:cs="Arial"/>
          <w:b/>
        </w:rPr>
        <w:t>Accruals –</w:t>
      </w:r>
      <w:r>
        <w:rPr>
          <w:rFonts w:ascii="Arial" w:hAnsi="Arial" w:cs="Arial"/>
        </w:rPr>
        <w:t xml:space="preserve"> Where the benefit of goods or services has been received or a cost incurred but </w:t>
      </w:r>
      <w:r w:rsidR="001E2927">
        <w:rPr>
          <w:rFonts w:ascii="Arial" w:hAnsi="Arial" w:cs="Arial"/>
        </w:rPr>
        <w:t>a</w:t>
      </w:r>
      <w:r>
        <w:rPr>
          <w:rFonts w:ascii="Arial" w:hAnsi="Arial" w:cs="Arial"/>
        </w:rPr>
        <w:t>n invoice from the supplier has</w:t>
      </w:r>
      <w:r w:rsidR="001E2927">
        <w:rPr>
          <w:rFonts w:ascii="Arial" w:hAnsi="Arial" w:cs="Arial"/>
        </w:rPr>
        <w:t xml:space="preserve"> </w:t>
      </w:r>
      <w:r>
        <w:rPr>
          <w:rFonts w:ascii="Arial" w:hAnsi="Arial" w:cs="Arial"/>
        </w:rPr>
        <w:t>not been received by the year end an adjustment is required to recognise the expenditure within the appropriate year, In the accounts for the year to 31</w:t>
      </w:r>
      <w:r w:rsidRPr="00813CF3">
        <w:rPr>
          <w:rFonts w:ascii="Arial" w:hAnsi="Arial" w:cs="Arial"/>
          <w:vertAlign w:val="superscript"/>
        </w:rPr>
        <w:t>st</w:t>
      </w:r>
      <w:r>
        <w:rPr>
          <w:rFonts w:ascii="Arial" w:hAnsi="Arial" w:cs="Arial"/>
        </w:rPr>
        <w:t xml:space="preserve"> March 2018 the following adjustments were made:</w:t>
      </w:r>
    </w:p>
    <w:p w:rsidR="00813CF3" w:rsidRDefault="00813CF3" w:rsidP="00016B30">
      <w:pPr>
        <w:rPr>
          <w:rFonts w:ascii="Arial" w:hAnsi="Arial" w:cs="Arial"/>
        </w:rPr>
      </w:pPr>
    </w:p>
    <w:p w:rsidR="00813CF3" w:rsidRPr="00A11B2C" w:rsidRDefault="00813CF3" w:rsidP="00016B30">
      <w:pPr>
        <w:rPr>
          <w:rFonts w:ascii="Arial" w:hAnsi="Arial" w:cs="Arial"/>
        </w:rPr>
      </w:pPr>
      <w:r>
        <w:rPr>
          <w:rFonts w:ascii="Arial" w:hAnsi="Arial" w:cs="Arial"/>
        </w:rPr>
        <w:tab/>
      </w:r>
    </w:p>
    <w:tbl>
      <w:tblPr>
        <w:tblStyle w:val="TableGrid"/>
        <w:tblW w:w="0" w:type="auto"/>
        <w:tblInd w:w="704" w:type="dxa"/>
        <w:tblLook w:val="04A0"/>
      </w:tblPr>
      <w:tblGrid>
        <w:gridCol w:w="2693"/>
        <w:gridCol w:w="2410"/>
        <w:gridCol w:w="2489"/>
      </w:tblGrid>
      <w:tr w:rsidR="00813CF3" w:rsidTr="00B83727">
        <w:tc>
          <w:tcPr>
            <w:tcW w:w="2693" w:type="dxa"/>
          </w:tcPr>
          <w:p w:rsidR="00813CF3" w:rsidRPr="003F2DA2" w:rsidRDefault="00813CF3" w:rsidP="00B83727">
            <w:pPr>
              <w:rPr>
                <w:rFonts w:ascii="Arial" w:hAnsi="Arial" w:cs="Arial"/>
                <w:b/>
              </w:rPr>
            </w:pPr>
            <w:bookmarkStart w:id="1" w:name="_Hlk516507741"/>
            <w:r w:rsidRPr="003F2DA2">
              <w:rPr>
                <w:rFonts w:ascii="Arial" w:hAnsi="Arial" w:cs="Arial"/>
                <w:b/>
              </w:rPr>
              <w:t>Accruals</w:t>
            </w:r>
          </w:p>
        </w:tc>
        <w:tc>
          <w:tcPr>
            <w:tcW w:w="2410" w:type="dxa"/>
          </w:tcPr>
          <w:p w:rsidR="00813CF3" w:rsidRPr="003F2DA2" w:rsidRDefault="00813CF3" w:rsidP="00B83727">
            <w:pPr>
              <w:rPr>
                <w:rFonts w:ascii="Arial" w:hAnsi="Arial" w:cs="Arial"/>
                <w:b/>
              </w:rPr>
            </w:pPr>
            <w:r w:rsidRPr="003F2DA2">
              <w:rPr>
                <w:rFonts w:ascii="Arial" w:hAnsi="Arial" w:cs="Arial"/>
                <w:b/>
              </w:rPr>
              <w:t>201</w:t>
            </w:r>
            <w:r w:rsidR="005D5E20" w:rsidRPr="003F2DA2">
              <w:rPr>
                <w:rFonts w:ascii="Arial" w:hAnsi="Arial" w:cs="Arial"/>
                <w:b/>
              </w:rPr>
              <w:t>6/7</w:t>
            </w:r>
          </w:p>
          <w:p w:rsidR="005D5E20" w:rsidRPr="003F2DA2" w:rsidRDefault="005D5E20" w:rsidP="00B83727">
            <w:pPr>
              <w:rPr>
                <w:rFonts w:ascii="Arial" w:hAnsi="Arial" w:cs="Arial"/>
                <w:b/>
              </w:rPr>
            </w:pPr>
            <w:r w:rsidRPr="003F2DA2">
              <w:rPr>
                <w:rFonts w:ascii="Arial" w:hAnsi="Arial" w:cs="Arial"/>
                <w:b/>
              </w:rPr>
              <w:t>£</w:t>
            </w:r>
          </w:p>
        </w:tc>
        <w:tc>
          <w:tcPr>
            <w:tcW w:w="2489" w:type="dxa"/>
          </w:tcPr>
          <w:p w:rsidR="00813CF3" w:rsidRPr="003F2DA2" w:rsidRDefault="00813CF3" w:rsidP="00B83727">
            <w:pPr>
              <w:rPr>
                <w:rFonts w:ascii="Arial" w:hAnsi="Arial" w:cs="Arial"/>
                <w:b/>
              </w:rPr>
            </w:pPr>
            <w:r w:rsidRPr="003F2DA2">
              <w:rPr>
                <w:rFonts w:ascii="Arial" w:hAnsi="Arial" w:cs="Arial"/>
                <w:b/>
              </w:rPr>
              <w:t>201</w:t>
            </w:r>
            <w:r w:rsidR="005D5E20" w:rsidRPr="003F2DA2">
              <w:rPr>
                <w:rFonts w:ascii="Arial" w:hAnsi="Arial" w:cs="Arial"/>
                <w:b/>
              </w:rPr>
              <w:t>7/18</w:t>
            </w:r>
          </w:p>
          <w:p w:rsidR="005D5E20" w:rsidRPr="003F2DA2" w:rsidRDefault="005D5E20" w:rsidP="00B83727">
            <w:pPr>
              <w:rPr>
                <w:rFonts w:ascii="Arial" w:hAnsi="Arial" w:cs="Arial"/>
                <w:b/>
              </w:rPr>
            </w:pPr>
            <w:r w:rsidRPr="003F2DA2">
              <w:rPr>
                <w:rFonts w:ascii="Arial" w:hAnsi="Arial" w:cs="Arial"/>
                <w:b/>
              </w:rPr>
              <w:t>£</w:t>
            </w:r>
          </w:p>
        </w:tc>
      </w:tr>
      <w:tr w:rsidR="00813CF3" w:rsidTr="00B83727">
        <w:tc>
          <w:tcPr>
            <w:tcW w:w="2693" w:type="dxa"/>
          </w:tcPr>
          <w:p w:rsidR="00813CF3" w:rsidRPr="009E4DCE" w:rsidRDefault="005D5E20" w:rsidP="00B83727">
            <w:pPr>
              <w:rPr>
                <w:rFonts w:ascii="Arial" w:hAnsi="Arial" w:cs="Arial"/>
                <w:highlight w:val="yellow"/>
              </w:rPr>
            </w:pPr>
            <w:r w:rsidRPr="0078196C">
              <w:rPr>
                <w:rFonts w:ascii="Arial" w:hAnsi="Arial" w:cs="Arial"/>
              </w:rPr>
              <w:t>Telephone</w:t>
            </w:r>
          </w:p>
        </w:tc>
        <w:tc>
          <w:tcPr>
            <w:tcW w:w="2410" w:type="dxa"/>
          </w:tcPr>
          <w:p w:rsidR="00813CF3" w:rsidRDefault="005D5E20" w:rsidP="00B83727">
            <w:pPr>
              <w:rPr>
                <w:rFonts w:ascii="Arial" w:hAnsi="Arial" w:cs="Arial"/>
              </w:rPr>
            </w:pPr>
            <w:r>
              <w:rPr>
                <w:rFonts w:ascii="Arial" w:hAnsi="Arial" w:cs="Arial"/>
              </w:rPr>
              <w:t>760</w:t>
            </w:r>
          </w:p>
        </w:tc>
        <w:tc>
          <w:tcPr>
            <w:tcW w:w="2489" w:type="dxa"/>
          </w:tcPr>
          <w:p w:rsidR="00813CF3" w:rsidRDefault="005D5E20" w:rsidP="00B83727">
            <w:pPr>
              <w:rPr>
                <w:rFonts w:ascii="Arial" w:hAnsi="Arial" w:cs="Arial"/>
              </w:rPr>
            </w:pPr>
            <w:r>
              <w:rPr>
                <w:rFonts w:ascii="Arial" w:hAnsi="Arial" w:cs="Arial"/>
              </w:rPr>
              <w:t>645</w:t>
            </w:r>
          </w:p>
        </w:tc>
      </w:tr>
      <w:tr w:rsidR="00813CF3" w:rsidTr="00B83727">
        <w:tc>
          <w:tcPr>
            <w:tcW w:w="2693" w:type="dxa"/>
          </w:tcPr>
          <w:p w:rsidR="00813CF3" w:rsidRDefault="005D5E20" w:rsidP="00B83727">
            <w:pPr>
              <w:rPr>
                <w:rFonts w:ascii="Arial" w:hAnsi="Arial" w:cs="Arial"/>
              </w:rPr>
            </w:pPr>
            <w:r>
              <w:rPr>
                <w:rFonts w:ascii="Arial" w:hAnsi="Arial" w:cs="Arial"/>
              </w:rPr>
              <w:t>PKF Audit Fee</w:t>
            </w:r>
          </w:p>
        </w:tc>
        <w:tc>
          <w:tcPr>
            <w:tcW w:w="2410" w:type="dxa"/>
          </w:tcPr>
          <w:p w:rsidR="00813CF3" w:rsidRDefault="005D5E20" w:rsidP="00B83727">
            <w:pPr>
              <w:rPr>
                <w:rFonts w:ascii="Arial" w:hAnsi="Arial" w:cs="Arial"/>
              </w:rPr>
            </w:pPr>
            <w:r>
              <w:rPr>
                <w:rFonts w:ascii="Arial" w:hAnsi="Arial" w:cs="Arial"/>
              </w:rPr>
              <w:t>2,000</w:t>
            </w:r>
          </w:p>
        </w:tc>
        <w:tc>
          <w:tcPr>
            <w:tcW w:w="2489" w:type="dxa"/>
          </w:tcPr>
          <w:p w:rsidR="00813CF3" w:rsidRDefault="005D5E20" w:rsidP="00B83727">
            <w:pPr>
              <w:rPr>
                <w:rFonts w:ascii="Arial" w:hAnsi="Arial" w:cs="Arial"/>
              </w:rPr>
            </w:pPr>
            <w:r>
              <w:rPr>
                <w:rFonts w:ascii="Arial" w:hAnsi="Arial" w:cs="Arial"/>
              </w:rPr>
              <w:t>1,300</w:t>
            </w:r>
          </w:p>
        </w:tc>
      </w:tr>
      <w:tr w:rsidR="005D5E20" w:rsidTr="00B83727">
        <w:tc>
          <w:tcPr>
            <w:tcW w:w="2693" w:type="dxa"/>
          </w:tcPr>
          <w:p w:rsidR="005D5E20" w:rsidRDefault="005D5E20" w:rsidP="00B83727">
            <w:pPr>
              <w:rPr>
                <w:rFonts w:ascii="Arial" w:hAnsi="Arial" w:cs="Arial"/>
              </w:rPr>
            </w:pPr>
            <w:r>
              <w:rPr>
                <w:rFonts w:ascii="Arial" w:hAnsi="Arial" w:cs="Arial"/>
              </w:rPr>
              <w:t>Accountant – Year End Accounts</w:t>
            </w:r>
          </w:p>
        </w:tc>
        <w:tc>
          <w:tcPr>
            <w:tcW w:w="2410" w:type="dxa"/>
          </w:tcPr>
          <w:p w:rsidR="005D5E20" w:rsidRDefault="005D5E20" w:rsidP="00B83727">
            <w:pPr>
              <w:rPr>
                <w:rFonts w:ascii="Arial" w:hAnsi="Arial" w:cs="Arial"/>
              </w:rPr>
            </w:pPr>
            <w:r>
              <w:rPr>
                <w:rFonts w:ascii="Arial" w:hAnsi="Arial" w:cs="Arial"/>
              </w:rPr>
              <w:t>0</w:t>
            </w:r>
          </w:p>
        </w:tc>
        <w:tc>
          <w:tcPr>
            <w:tcW w:w="2489" w:type="dxa"/>
          </w:tcPr>
          <w:p w:rsidR="005D5E20" w:rsidRDefault="005D5E20" w:rsidP="00B83727">
            <w:pPr>
              <w:rPr>
                <w:rFonts w:ascii="Arial" w:hAnsi="Arial" w:cs="Arial"/>
              </w:rPr>
            </w:pPr>
            <w:r>
              <w:rPr>
                <w:rFonts w:ascii="Arial" w:hAnsi="Arial" w:cs="Arial"/>
              </w:rPr>
              <w:t>3,000</w:t>
            </w:r>
          </w:p>
        </w:tc>
      </w:tr>
      <w:tr w:rsidR="005D5E20" w:rsidTr="00B83727">
        <w:tc>
          <w:tcPr>
            <w:tcW w:w="2693" w:type="dxa"/>
          </w:tcPr>
          <w:p w:rsidR="005D5E20" w:rsidRDefault="005D5E20" w:rsidP="00B83727">
            <w:pPr>
              <w:rPr>
                <w:rFonts w:ascii="Arial" w:hAnsi="Arial" w:cs="Arial"/>
              </w:rPr>
            </w:pPr>
            <w:r>
              <w:rPr>
                <w:rFonts w:ascii="Arial" w:hAnsi="Arial" w:cs="Arial"/>
              </w:rPr>
              <w:t>Electricity Pendle Road</w:t>
            </w:r>
          </w:p>
        </w:tc>
        <w:tc>
          <w:tcPr>
            <w:tcW w:w="2410" w:type="dxa"/>
          </w:tcPr>
          <w:p w:rsidR="005D5E20" w:rsidRDefault="0078196C" w:rsidP="00B83727">
            <w:pPr>
              <w:rPr>
                <w:rFonts w:ascii="Arial" w:hAnsi="Arial" w:cs="Arial"/>
              </w:rPr>
            </w:pPr>
            <w:r>
              <w:rPr>
                <w:rFonts w:ascii="Arial" w:hAnsi="Arial" w:cs="Arial"/>
              </w:rPr>
              <w:t>1,664</w:t>
            </w:r>
          </w:p>
        </w:tc>
        <w:tc>
          <w:tcPr>
            <w:tcW w:w="2489" w:type="dxa"/>
          </w:tcPr>
          <w:p w:rsidR="005D5E20" w:rsidRDefault="0078196C" w:rsidP="00B83727">
            <w:pPr>
              <w:rPr>
                <w:rFonts w:ascii="Arial" w:hAnsi="Arial" w:cs="Arial"/>
              </w:rPr>
            </w:pPr>
            <w:r>
              <w:rPr>
                <w:rFonts w:ascii="Arial" w:hAnsi="Arial" w:cs="Arial"/>
              </w:rPr>
              <w:t>1,606</w:t>
            </w:r>
          </w:p>
        </w:tc>
      </w:tr>
      <w:tr w:rsidR="0078196C" w:rsidTr="00B83727">
        <w:tc>
          <w:tcPr>
            <w:tcW w:w="2693" w:type="dxa"/>
          </w:tcPr>
          <w:p w:rsidR="0078196C" w:rsidRDefault="0078196C" w:rsidP="00B83727">
            <w:pPr>
              <w:rPr>
                <w:rFonts w:ascii="Arial" w:hAnsi="Arial" w:cs="Arial"/>
              </w:rPr>
            </w:pPr>
            <w:r>
              <w:rPr>
                <w:rFonts w:ascii="Arial" w:hAnsi="Arial" w:cs="Arial"/>
              </w:rPr>
              <w:t xml:space="preserve">Gas St </w:t>
            </w:r>
            <w:proofErr w:type="spellStart"/>
            <w:r>
              <w:rPr>
                <w:rFonts w:ascii="Arial" w:hAnsi="Arial" w:cs="Arial"/>
              </w:rPr>
              <w:t>Lukes</w:t>
            </w:r>
            <w:proofErr w:type="spellEnd"/>
          </w:p>
        </w:tc>
        <w:tc>
          <w:tcPr>
            <w:tcW w:w="2410" w:type="dxa"/>
          </w:tcPr>
          <w:p w:rsidR="0078196C" w:rsidRDefault="0078196C" w:rsidP="00B83727">
            <w:pPr>
              <w:rPr>
                <w:rFonts w:ascii="Arial" w:hAnsi="Arial" w:cs="Arial"/>
              </w:rPr>
            </w:pPr>
            <w:r>
              <w:rPr>
                <w:rFonts w:ascii="Arial" w:hAnsi="Arial" w:cs="Arial"/>
              </w:rPr>
              <w:t>750</w:t>
            </w:r>
          </w:p>
        </w:tc>
        <w:tc>
          <w:tcPr>
            <w:tcW w:w="2489" w:type="dxa"/>
          </w:tcPr>
          <w:p w:rsidR="0078196C" w:rsidRDefault="0078196C" w:rsidP="00B83727">
            <w:pPr>
              <w:rPr>
                <w:rFonts w:ascii="Arial" w:hAnsi="Arial" w:cs="Arial"/>
              </w:rPr>
            </w:pPr>
            <w:r>
              <w:rPr>
                <w:rFonts w:ascii="Arial" w:hAnsi="Arial" w:cs="Arial"/>
              </w:rPr>
              <w:t>600</w:t>
            </w:r>
          </w:p>
        </w:tc>
      </w:tr>
      <w:tr w:rsidR="0078196C" w:rsidTr="00B83727">
        <w:tc>
          <w:tcPr>
            <w:tcW w:w="2693" w:type="dxa"/>
          </w:tcPr>
          <w:p w:rsidR="0078196C" w:rsidRDefault="0078196C" w:rsidP="00B83727">
            <w:pPr>
              <w:rPr>
                <w:rFonts w:ascii="Arial" w:hAnsi="Arial" w:cs="Arial"/>
              </w:rPr>
            </w:pPr>
            <w:r>
              <w:rPr>
                <w:rFonts w:ascii="Arial" w:hAnsi="Arial" w:cs="Arial"/>
              </w:rPr>
              <w:t xml:space="preserve">Electric St </w:t>
            </w:r>
            <w:proofErr w:type="spellStart"/>
            <w:r>
              <w:rPr>
                <w:rFonts w:ascii="Arial" w:hAnsi="Arial" w:cs="Arial"/>
              </w:rPr>
              <w:t>Lukes</w:t>
            </w:r>
            <w:proofErr w:type="spellEnd"/>
          </w:p>
        </w:tc>
        <w:tc>
          <w:tcPr>
            <w:tcW w:w="2410" w:type="dxa"/>
          </w:tcPr>
          <w:p w:rsidR="0078196C" w:rsidRDefault="0078196C" w:rsidP="00B83727">
            <w:pPr>
              <w:rPr>
                <w:rFonts w:ascii="Arial" w:hAnsi="Arial" w:cs="Arial"/>
              </w:rPr>
            </w:pPr>
            <w:r>
              <w:rPr>
                <w:rFonts w:ascii="Arial" w:hAnsi="Arial" w:cs="Arial"/>
              </w:rPr>
              <w:t>500</w:t>
            </w:r>
          </w:p>
        </w:tc>
        <w:tc>
          <w:tcPr>
            <w:tcW w:w="2489" w:type="dxa"/>
          </w:tcPr>
          <w:p w:rsidR="0078196C" w:rsidRDefault="0078196C" w:rsidP="00B83727">
            <w:pPr>
              <w:rPr>
                <w:rFonts w:ascii="Arial" w:hAnsi="Arial" w:cs="Arial"/>
              </w:rPr>
            </w:pPr>
            <w:r>
              <w:rPr>
                <w:rFonts w:ascii="Arial" w:hAnsi="Arial" w:cs="Arial"/>
              </w:rPr>
              <w:t>750</w:t>
            </w:r>
          </w:p>
        </w:tc>
      </w:tr>
      <w:tr w:rsidR="0078196C" w:rsidTr="00B83727">
        <w:tc>
          <w:tcPr>
            <w:tcW w:w="2693" w:type="dxa"/>
          </w:tcPr>
          <w:p w:rsidR="0078196C" w:rsidRDefault="0078196C" w:rsidP="00B83727">
            <w:pPr>
              <w:rPr>
                <w:rFonts w:ascii="Arial" w:hAnsi="Arial" w:cs="Arial"/>
              </w:rPr>
            </w:pPr>
            <w:r>
              <w:rPr>
                <w:rFonts w:ascii="Arial" w:hAnsi="Arial" w:cs="Arial"/>
              </w:rPr>
              <w:t xml:space="preserve">Water St </w:t>
            </w:r>
            <w:proofErr w:type="spellStart"/>
            <w:r>
              <w:rPr>
                <w:rFonts w:ascii="Arial" w:hAnsi="Arial" w:cs="Arial"/>
              </w:rPr>
              <w:t>Lukes</w:t>
            </w:r>
            <w:proofErr w:type="spellEnd"/>
          </w:p>
        </w:tc>
        <w:tc>
          <w:tcPr>
            <w:tcW w:w="2410" w:type="dxa"/>
          </w:tcPr>
          <w:p w:rsidR="0078196C" w:rsidRDefault="0078196C" w:rsidP="00B83727">
            <w:pPr>
              <w:rPr>
                <w:rFonts w:ascii="Arial" w:hAnsi="Arial" w:cs="Arial"/>
              </w:rPr>
            </w:pPr>
            <w:r>
              <w:rPr>
                <w:rFonts w:ascii="Arial" w:hAnsi="Arial" w:cs="Arial"/>
              </w:rPr>
              <w:t>250</w:t>
            </w:r>
          </w:p>
        </w:tc>
        <w:tc>
          <w:tcPr>
            <w:tcW w:w="2489" w:type="dxa"/>
          </w:tcPr>
          <w:p w:rsidR="0078196C" w:rsidRDefault="0078196C" w:rsidP="00B83727">
            <w:pPr>
              <w:rPr>
                <w:rFonts w:ascii="Arial" w:hAnsi="Arial" w:cs="Arial"/>
              </w:rPr>
            </w:pPr>
            <w:r>
              <w:rPr>
                <w:rFonts w:ascii="Arial" w:hAnsi="Arial" w:cs="Arial"/>
              </w:rPr>
              <w:t>275</w:t>
            </w:r>
          </w:p>
        </w:tc>
      </w:tr>
      <w:tr w:rsidR="0078196C" w:rsidTr="00B83727">
        <w:tc>
          <w:tcPr>
            <w:tcW w:w="2693" w:type="dxa"/>
          </w:tcPr>
          <w:p w:rsidR="0078196C" w:rsidRDefault="0078196C" w:rsidP="00B83727">
            <w:pPr>
              <w:rPr>
                <w:rFonts w:ascii="Arial" w:hAnsi="Arial" w:cs="Arial"/>
              </w:rPr>
            </w:pPr>
            <w:r>
              <w:rPr>
                <w:rFonts w:ascii="Arial" w:hAnsi="Arial" w:cs="Arial"/>
              </w:rPr>
              <w:t>Water Pendle Road</w:t>
            </w:r>
          </w:p>
        </w:tc>
        <w:tc>
          <w:tcPr>
            <w:tcW w:w="2410" w:type="dxa"/>
          </w:tcPr>
          <w:p w:rsidR="0078196C" w:rsidRDefault="0078196C" w:rsidP="00B83727">
            <w:pPr>
              <w:rPr>
                <w:rFonts w:ascii="Arial" w:hAnsi="Arial" w:cs="Arial"/>
              </w:rPr>
            </w:pPr>
            <w:r>
              <w:rPr>
                <w:rFonts w:ascii="Arial" w:hAnsi="Arial" w:cs="Arial"/>
              </w:rPr>
              <w:t>580</w:t>
            </w:r>
          </w:p>
        </w:tc>
        <w:tc>
          <w:tcPr>
            <w:tcW w:w="2489" w:type="dxa"/>
          </w:tcPr>
          <w:p w:rsidR="0078196C" w:rsidRDefault="0078196C" w:rsidP="00B83727">
            <w:pPr>
              <w:rPr>
                <w:rFonts w:ascii="Arial" w:hAnsi="Arial" w:cs="Arial"/>
              </w:rPr>
            </w:pPr>
            <w:r>
              <w:rPr>
                <w:rFonts w:ascii="Arial" w:hAnsi="Arial" w:cs="Arial"/>
              </w:rPr>
              <w:t>175</w:t>
            </w:r>
          </w:p>
        </w:tc>
      </w:tr>
      <w:tr w:rsidR="0078196C" w:rsidTr="00B83727">
        <w:tc>
          <w:tcPr>
            <w:tcW w:w="2693" w:type="dxa"/>
          </w:tcPr>
          <w:p w:rsidR="0078196C" w:rsidRDefault="0078196C" w:rsidP="00B83727">
            <w:pPr>
              <w:rPr>
                <w:rFonts w:ascii="Arial" w:hAnsi="Arial" w:cs="Arial"/>
              </w:rPr>
            </w:pPr>
            <w:r>
              <w:rPr>
                <w:rFonts w:ascii="Arial" w:hAnsi="Arial" w:cs="Arial"/>
              </w:rPr>
              <w:lastRenderedPageBreak/>
              <w:t>Complete Ground Management</w:t>
            </w:r>
          </w:p>
        </w:tc>
        <w:tc>
          <w:tcPr>
            <w:tcW w:w="2410" w:type="dxa"/>
          </w:tcPr>
          <w:p w:rsidR="0078196C" w:rsidRDefault="0078196C" w:rsidP="00B83727">
            <w:pPr>
              <w:rPr>
                <w:rFonts w:ascii="Arial" w:hAnsi="Arial" w:cs="Arial"/>
              </w:rPr>
            </w:pPr>
            <w:r>
              <w:rPr>
                <w:rFonts w:ascii="Arial" w:hAnsi="Arial" w:cs="Arial"/>
              </w:rPr>
              <w:t>0</w:t>
            </w:r>
          </w:p>
        </w:tc>
        <w:tc>
          <w:tcPr>
            <w:tcW w:w="2489" w:type="dxa"/>
          </w:tcPr>
          <w:p w:rsidR="0078196C" w:rsidRDefault="0078196C" w:rsidP="00B83727">
            <w:pPr>
              <w:rPr>
                <w:rFonts w:ascii="Arial" w:hAnsi="Arial" w:cs="Arial"/>
              </w:rPr>
            </w:pPr>
            <w:r>
              <w:rPr>
                <w:rFonts w:ascii="Arial" w:hAnsi="Arial" w:cs="Arial"/>
              </w:rPr>
              <w:t>1,159.17</w:t>
            </w:r>
          </w:p>
        </w:tc>
      </w:tr>
      <w:tr w:rsidR="00813CF3" w:rsidTr="00B83727">
        <w:tc>
          <w:tcPr>
            <w:tcW w:w="2693" w:type="dxa"/>
          </w:tcPr>
          <w:p w:rsidR="00813CF3" w:rsidRPr="003F2DA2" w:rsidRDefault="00813CF3" w:rsidP="00B83727">
            <w:pPr>
              <w:rPr>
                <w:rFonts w:ascii="Arial" w:hAnsi="Arial" w:cs="Arial"/>
                <w:b/>
              </w:rPr>
            </w:pPr>
            <w:r w:rsidRPr="003F2DA2">
              <w:rPr>
                <w:rFonts w:ascii="Arial" w:hAnsi="Arial" w:cs="Arial"/>
                <w:b/>
              </w:rPr>
              <w:t>TOTAL</w:t>
            </w:r>
          </w:p>
        </w:tc>
        <w:tc>
          <w:tcPr>
            <w:tcW w:w="2410" w:type="dxa"/>
          </w:tcPr>
          <w:p w:rsidR="00813CF3" w:rsidRDefault="005D5E20" w:rsidP="00B83727">
            <w:pPr>
              <w:rPr>
                <w:rFonts w:ascii="Arial" w:hAnsi="Arial" w:cs="Arial"/>
              </w:rPr>
            </w:pPr>
            <w:r>
              <w:rPr>
                <w:rFonts w:ascii="Arial" w:hAnsi="Arial" w:cs="Arial"/>
              </w:rPr>
              <w:t>6,504</w:t>
            </w:r>
          </w:p>
        </w:tc>
        <w:tc>
          <w:tcPr>
            <w:tcW w:w="2489" w:type="dxa"/>
          </w:tcPr>
          <w:p w:rsidR="00813CF3" w:rsidRDefault="005D5E20" w:rsidP="00B83727">
            <w:pPr>
              <w:rPr>
                <w:rFonts w:ascii="Arial" w:hAnsi="Arial" w:cs="Arial"/>
              </w:rPr>
            </w:pPr>
            <w:r>
              <w:rPr>
                <w:rFonts w:ascii="Arial" w:hAnsi="Arial" w:cs="Arial"/>
              </w:rPr>
              <w:t>9,510.17</w:t>
            </w:r>
          </w:p>
        </w:tc>
      </w:tr>
      <w:bookmarkEnd w:id="1"/>
    </w:tbl>
    <w:p w:rsidR="00813CF3" w:rsidRDefault="00813CF3" w:rsidP="00016B30">
      <w:pPr>
        <w:rPr>
          <w:rFonts w:ascii="Arial" w:hAnsi="Arial" w:cs="Arial"/>
        </w:rPr>
      </w:pPr>
    </w:p>
    <w:p w:rsidR="00813CF3" w:rsidRDefault="00813CF3" w:rsidP="00813CF3">
      <w:pPr>
        <w:ind w:left="720"/>
        <w:rPr>
          <w:rFonts w:ascii="Arial" w:hAnsi="Arial" w:cs="Arial"/>
        </w:rPr>
      </w:pPr>
      <w:r w:rsidRPr="00813CF3">
        <w:rPr>
          <w:rFonts w:ascii="Arial" w:hAnsi="Arial" w:cs="Arial"/>
          <w:b/>
        </w:rPr>
        <w:t xml:space="preserve">Deferred Income </w:t>
      </w:r>
      <w:r w:rsidRPr="00813CF3">
        <w:rPr>
          <w:rFonts w:ascii="Arial" w:hAnsi="Arial" w:cs="Arial"/>
        </w:rPr>
        <w:t>– Where a sales invoice in raised in advance for an event or service that takes place in the following financial period then this income must be adjusted to transfer it in to the accounts for the following year. An example of this might be payment for stalls/pitches at Fun Day.</w:t>
      </w:r>
    </w:p>
    <w:p w:rsidR="00813CF3" w:rsidRDefault="00813CF3" w:rsidP="00813CF3">
      <w:pPr>
        <w:ind w:left="720"/>
        <w:rPr>
          <w:rFonts w:ascii="Arial" w:hAnsi="Arial" w:cs="Arial"/>
        </w:rPr>
      </w:pPr>
    </w:p>
    <w:tbl>
      <w:tblPr>
        <w:tblStyle w:val="TableGrid"/>
        <w:tblW w:w="0" w:type="auto"/>
        <w:tblInd w:w="704" w:type="dxa"/>
        <w:tblLook w:val="04A0"/>
      </w:tblPr>
      <w:tblGrid>
        <w:gridCol w:w="2693"/>
        <w:gridCol w:w="2410"/>
        <w:gridCol w:w="2489"/>
      </w:tblGrid>
      <w:tr w:rsidR="00813CF3" w:rsidRPr="00C55C5B" w:rsidTr="00B83727">
        <w:tc>
          <w:tcPr>
            <w:tcW w:w="2693" w:type="dxa"/>
          </w:tcPr>
          <w:p w:rsidR="00813CF3" w:rsidRPr="003F2DA2" w:rsidRDefault="00813CF3" w:rsidP="00B83727">
            <w:pPr>
              <w:rPr>
                <w:rFonts w:ascii="Arial" w:hAnsi="Arial" w:cs="Arial"/>
                <w:b/>
              </w:rPr>
            </w:pPr>
            <w:r w:rsidRPr="003F2DA2">
              <w:rPr>
                <w:rFonts w:ascii="Arial" w:hAnsi="Arial" w:cs="Arial"/>
                <w:b/>
              </w:rPr>
              <w:t xml:space="preserve">Deferred Income </w:t>
            </w:r>
          </w:p>
        </w:tc>
        <w:tc>
          <w:tcPr>
            <w:tcW w:w="2410" w:type="dxa"/>
          </w:tcPr>
          <w:p w:rsidR="00813CF3" w:rsidRPr="003F2DA2" w:rsidRDefault="00813CF3" w:rsidP="00B83727">
            <w:pPr>
              <w:rPr>
                <w:rFonts w:ascii="Arial" w:hAnsi="Arial" w:cs="Arial"/>
                <w:b/>
              </w:rPr>
            </w:pPr>
            <w:r w:rsidRPr="003F2DA2">
              <w:rPr>
                <w:rFonts w:ascii="Arial" w:hAnsi="Arial" w:cs="Arial"/>
                <w:b/>
              </w:rPr>
              <w:t>201</w:t>
            </w:r>
            <w:r w:rsidR="005D5E20" w:rsidRPr="003F2DA2">
              <w:rPr>
                <w:rFonts w:ascii="Arial" w:hAnsi="Arial" w:cs="Arial"/>
                <w:b/>
              </w:rPr>
              <w:t>6/17</w:t>
            </w:r>
          </w:p>
          <w:p w:rsidR="005D5E20" w:rsidRPr="003F2DA2" w:rsidRDefault="005D5E20" w:rsidP="00B83727">
            <w:pPr>
              <w:rPr>
                <w:rFonts w:ascii="Arial" w:hAnsi="Arial" w:cs="Arial"/>
                <w:b/>
              </w:rPr>
            </w:pPr>
            <w:r w:rsidRPr="003F2DA2">
              <w:rPr>
                <w:rFonts w:ascii="Arial" w:hAnsi="Arial" w:cs="Arial"/>
                <w:b/>
              </w:rPr>
              <w:t>£</w:t>
            </w:r>
          </w:p>
        </w:tc>
        <w:tc>
          <w:tcPr>
            <w:tcW w:w="2489" w:type="dxa"/>
          </w:tcPr>
          <w:p w:rsidR="00813CF3" w:rsidRDefault="00813CF3" w:rsidP="00B83727">
            <w:pPr>
              <w:rPr>
                <w:rFonts w:ascii="Arial" w:hAnsi="Arial" w:cs="Arial"/>
                <w:b/>
              </w:rPr>
            </w:pPr>
            <w:r w:rsidRPr="003F2DA2">
              <w:rPr>
                <w:rFonts w:ascii="Arial" w:hAnsi="Arial" w:cs="Arial"/>
                <w:b/>
              </w:rPr>
              <w:t>201</w:t>
            </w:r>
            <w:r w:rsidR="005D5E20" w:rsidRPr="003F2DA2">
              <w:rPr>
                <w:rFonts w:ascii="Arial" w:hAnsi="Arial" w:cs="Arial"/>
                <w:b/>
              </w:rPr>
              <w:t>7/18</w:t>
            </w:r>
          </w:p>
          <w:p w:rsidR="003F2DA2" w:rsidRPr="003F2DA2" w:rsidRDefault="003F2DA2" w:rsidP="00B83727">
            <w:pPr>
              <w:rPr>
                <w:rFonts w:ascii="Arial" w:hAnsi="Arial" w:cs="Arial"/>
                <w:b/>
              </w:rPr>
            </w:pPr>
            <w:r>
              <w:rPr>
                <w:rFonts w:ascii="Arial" w:hAnsi="Arial" w:cs="Arial"/>
                <w:b/>
              </w:rPr>
              <w:t>£</w:t>
            </w:r>
          </w:p>
        </w:tc>
      </w:tr>
      <w:tr w:rsidR="00813CF3" w:rsidRPr="00C55C5B" w:rsidTr="00B83727">
        <w:tc>
          <w:tcPr>
            <w:tcW w:w="2693" w:type="dxa"/>
          </w:tcPr>
          <w:p w:rsidR="00813CF3" w:rsidRPr="005D5E20" w:rsidRDefault="005D5E20" w:rsidP="00B83727">
            <w:pPr>
              <w:rPr>
                <w:rFonts w:ascii="Arial" w:hAnsi="Arial" w:cs="Arial"/>
              </w:rPr>
            </w:pPr>
            <w:r w:rsidRPr="005D5E20">
              <w:rPr>
                <w:rFonts w:ascii="Arial" w:hAnsi="Arial" w:cs="Arial"/>
              </w:rPr>
              <w:t>Tenant (office 5)</w:t>
            </w:r>
          </w:p>
        </w:tc>
        <w:tc>
          <w:tcPr>
            <w:tcW w:w="2410" w:type="dxa"/>
          </w:tcPr>
          <w:p w:rsidR="00813CF3" w:rsidRPr="005D5E20" w:rsidRDefault="005D5E20" w:rsidP="00B83727">
            <w:pPr>
              <w:rPr>
                <w:rFonts w:ascii="Arial" w:hAnsi="Arial" w:cs="Arial"/>
              </w:rPr>
            </w:pPr>
            <w:r w:rsidRPr="005D5E20">
              <w:rPr>
                <w:rFonts w:ascii="Arial" w:hAnsi="Arial" w:cs="Arial"/>
              </w:rPr>
              <w:t>1,549</w:t>
            </w:r>
          </w:p>
        </w:tc>
        <w:tc>
          <w:tcPr>
            <w:tcW w:w="2489" w:type="dxa"/>
          </w:tcPr>
          <w:p w:rsidR="00813CF3" w:rsidRPr="005D5E20" w:rsidRDefault="005D5E20" w:rsidP="00B83727">
            <w:pPr>
              <w:rPr>
                <w:rFonts w:ascii="Arial" w:hAnsi="Arial" w:cs="Arial"/>
              </w:rPr>
            </w:pPr>
            <w:r w:rsidRPr="005D5E20">
              <w:rPr>
                <w:rFonts w:ascii="Arial" w:hAnsi="Arial" w:cs="Arial"/>
              </w:rPr>
              <w:t>Left March 2018</w:t>
            </w:r>
          </w:p>
        </w:tc>
      </w:tr>
      <w:tr w:rsidR="00813CF3" w:rsidRPr="00C55C5B" w:rsidTr="00B83727">
        <w:tc>
          <w:tcPr>
            <w:tcW w:w="2693" w:type="dxa"/>
          </w:tcPr>
          <w:p w:rsidR="00813CF3" w:rsidRPr="005D5E20" w:rsidRDefault="005D5E20" w:rsidP="00B83727">
            <w:pPr>
              <w:rPr>
                <w:rFonts w:ascii="Arial" w:hAnsi="Arial" w:cs="Arial"/>
              </w:rPr>
            </w:pPr>
            <w:r w:rsidRPr="005D5E20">
              <w:rPr>
                <w:rFonts w:ascii="Arial" w:hAnsi="Arial" w:cs="Arial"/>
              </w:rPr>
              <w:t>Tenant (office 4)</w:t>
            </w:r>
          </w:p>
        </w:tc>
        <w:tc>
          <w:tcPr>
            <w:tcW w:w="2410" w:type="dxa"/>
          </w:tcPr>
          <w:p w:rsidR="00813CF3" w:rsidRPr="005D5E20" w:rsidRDefault="005D5E20" w:rsidP="00B83727">
            <w:pPr>
              <w:rPr>
                <w:rFonts w:ascii="Arial" w:hAnsi="Arial" w:cs="Arial"/>
              </w:rPr>
            </w:pPr>
            <w:r w:rsidRPr="00246251">
              <w:rPr>
                <w:rFonts w:ascii="Arial" w:hAnsi="Arial" w:cs="Arial"/>
              </w:rPr>
              <w:t>1,54</w:t>
            </w:r>
            <w:r w:rsidR="001C3AA3" w:rsidRPr="00246251">
              <w:rPr>
                <w:rFonts w:ascii="Arial" w:hAnsi="Arial" w:cs="Arial"/>
              </w:rPr>
              <w:t>5</w:t>
            </w:r>
          </w:p>
        </w:tc>
        <w:tc>
          <w:tcPr>
            <w:tcW w:w="2489" w:type="dxa"/>
          </w:tcPr>
          <w:p w:rsidR="00813CF3" w:rsidRPr="005D5E20" w:rsidRDefault="005D5E20" w:rsidP="00B83727">
            <w:pPr>
              <w:rPr>
                <w:rFonts w:ascii="Arial" w:hAnsi="Arial" w:cs="Arial"/>
              </w:rPr>
            </w:pPr>
            <w:r w:rsidRPr="005D5E20">
              <w:rPr>
                <w:rFonts w:ascii="Arial" w:hAnsi="Arial" w:cs="Arial"/>
              </w:rPr>
              <w:t>1,529</w:t>
            </w:r>
          </w:p>
        </w:tc>
      </w:tr>
      <w:tr w:rsidR="005D5E20" w:rsidRPr="00C55C5B" w:rsidTr="00B83727">
        <w:tc>
          <w:tcPr>
            <w:tcW w:w="2693" w:type="dxa"/>
          </w:tcPr>
          <w:p w:rsidR="005D5E20" w:rsidRPr="005D5E20" w:rsidRDefault="005D5E20" w:rsidP="00B83727">
            <w:pPr>
              <w:rPr>
                <w:rFonts w:ascii="Arial" w:hAnsi="Arial" w:cs="Arial"/>
              </w:rPr>
            </w:pPr>
            <w:r w:rsidRPr="005D5E20">
              <w:rPr>
                <w:rFonts w:ascii="Arial" w:hAnsi="Arial" w:cs="Arial"/>
              </w:rPr>
              <w:t>Tenant (Nursery Room)</w:t>
            </w:r>
          </w:p>
        </w:tc>
        <w:tc>
          <w:tcPr>
            <w:tcW w:w="2410" w:type="dxa"/>
          </w:tcPr>
          <w:p w:rsidR="005D5E20" w:rsidRPr="005D5E20" w:rsidRDefault="005D5E20" w:rsidP="00B83727">
            <w:pPr>
              <w:rPr>
                <w:rFonts w:ascii="Arial" w:hAnsi="Arial" w:cs="Arial"/>
              </w:rPr>
            </w:pPr>
            <w:r w:rsidRPr="005D5E20">
              <w:rPr>
                <w:rFonts w:ascii="Arial" w:hAnsi="Arial" w:cs="Arial"/>
              </w:rPr>
              <w:t>8,740</w:t>
            </w:r>
          </w:p>
        </w:tc>
        <w:tc>
          <w:tcPr>
            <w:tcW w:w="2489" w:type="dxa"/>
          </w:tcPr>
          <w:p w:rsidR="005D5E20" w:rsidRPr="005D5E20" w:rsidRDefault="005D5E20" w:rsidP="00B83727">
            <w:pPr>
              <w:rPr>
                <w:rFonts w:ascii="Arial" w:hAnsi="Arial" w:cs="Arial"/>
              </w:rPr>
            </w:pPr>
            <w:r w:rsidRPr="005D5E20">
              <w:rPr>
                <w:rFonts w:ascii="Arial" w:hAnsi="Arial" w:cs="Arial"/>
              </w:rPr>
              <w:t>8,835</w:t>
            </w:r>
          </w:p>
        </w:tc>
      </w:tr>
      <w:tr w:rsidR="005D5E20" w:rsidRPr="00C55C5B" w:rsidTr="00B83727">
        <w:tc>
          <w:tcPr>
            <w:tcW w:w="2693" w:type="dxa"/>
          </w:tcPr>
          <w:p w:rsidR="005D5E20" w:rsidRPr="005D5E20" w:rsidRDefault="005D5E20" w:rsidP="00B83727">
            <w:pPr>
              <w:rPr>
                <w:rFonts w:ascii="Arial" w:hAnsi="Arial" w:cs="Arial"/>
              </w:rPr>
            </w:pPr>
            <w:r w:rsidRPr="005D5E20">
              <w:rPr>
                <w:rFonts w:ascii="Arial" w:hAnsi="Arial" w:cs="Arial"/>
              </w:rPr>
              <w:t>Tenant (office 2)</w:t>
            </w:r>
          </w:p>
        </w:tc>
        <w:tc>
          <w:tcPr>
            <w:tcW w:w="2410" w:type="dxa"/>
          </w:tcPr>
          <w:p w:rsidR="005D5E20" w:rsidRPr="005D5E20" w:rsidRDefault="005D5E20" w:rsidP="00B83727">
            <w:pPr>
              <w:rPr>
                <w:rFonts w:ascii="Arial" w:hAnsi="Arial" w:cs="Arial"/>
              </w:rPr>
            </w:pPr>
            <w:r w:rsidRPr="005D5E20">
              <w:rPr>
                <w:rFonts w:ascii="Arial" w:hAnsi="Arial" w:cs="Arial"/>
              </w:rPr>
              <w:t>1,199</w:t>
            </w:r>
          </w:p>
        </w:tc>
        <w:tc>
          <w:tcPr>
            <w:tcW w:w="2489" w:type="dxa"/>
          </w:tcPr>
          <w:p w:rsidR="005D5E20" w:rsidRPr="005D5E20" w:rsidRDefault="005D5E20" w:rsidP="00B83727">
            <w:pPr>
              <w:rPr>
                <w:rFonts w:ascii="Arial" w:hAnsi="Arial" w:cs="Arial"/>
              </w:rPr>
            </w:pPr>
            <w:r w:rsidRPr="005D5E20">
              <w:rPr>
                <w:rFonts w:ascii="Arial" w:hAnsi="Arial" w:cs="Arial"/>
              </w:rPr>
              <w:t>1,186</w:t>
            </w:r>
          </w:p>
        </w:tc>
      </w:tr>
      <w:tr w:rsidR="005D5E20" w:rsidRPr="00C55C5B" w:rsidTr="00B83727">
        <w:tc>
          <w:tcPr>
            <w:tcW w:w="2693" w:type="dxa"/>
          </w:tcPr>
          <w:p w:rsidR="005D5E20" w:rsidRPr="005D5E20" w:rsidRDefault="005D5E20" w:rsidP="00B83727">
            <w:pPr>
              <w:rPr>
                <w:rFonts w:ascii="Arial" w:hAnsi="Arial" w:cs="Arial"/>
              </w:rPr>
            </w:pPr>
            <w:r w:rsidRPr="005D5E20">
              <w:rPr>
                <w:rFonts w:ascii="Arial" w:hAnsi="Arial" w:cs="Arial"/>
              </w:rPr>
              <w:t>Tenant (office 1)</w:t>
            </w:r>
          </w:p>
        </w:tc>
        <w:tc>
          <w:tcPr>
            <w:tcW w:w="2410" w:type="dxa"/>
          </w:tcPr>
          <w:p w:rsidR="005D5E20" w:rsidRPr="005D5E20" w:rsidRDefault="005D5E20" w:rsidP="00B83727">
            <w:pPr>
              <w:rPr>
                <w:rFonts w:ascii="Arial" w:hAnsi="Arial" w:cs="Arial"/>
              </w:rPr>
            </w:pPr>
            <w:r w:rsidRPr="005D5E20">
              <w:rPr>
                <w:rFonts w:ascii="Arial" w:hAnsi="Arial" w:cs="Arial"/>
              </w:rPr>
              <w:t>2,079</w:t>
            </w:r>
          </w:p>
        </w:tc>
        <w:tc>
          <w:tcPr>
            <w:tcW w:w="2489" w:type="dxa"/>
          </w:tcPr>
          <w:p w:rsidR="005D5E20" w:rsidRPr="005D5E20" w:rsidRDefault="005D5E20" w:rsidP="00B83727">
            <w:pPr>
              <w:rPr>
                <w:rFonts w:ascii="Arial" w:hAnsi="Arial" w:cs="Arial"/>
              </w:rPr>
            </w:pPr>
            <w:r w:rsidRPr="005D5E20">
              <w:rPr>
                <w:rFonts w:ascii="Arial" w:hAnsi="Arial" w:cs="Arial"/>
              </w:rPr>
              <w:t>2,057</w:t>
            </w:r>
          </w:p>
        </w:tc>
      </w:tr>
      <w:tr w:rsidR="005D5E20" w:rsidRPr="00C55C5B" w:rsidTr="00B83727">
        <w:tc>
          <w:tcPr>
            <w:tcW w:w="2693" w:type="dxa"/>
          </w:tcPr>
          <w:p w:rsidR="005D5E20" w:rsidRPr="005D5E20" w:rsidRDefault="005D5E20" w:rsidP="00B83727">
            <w:pPr>
              <w:rPr>
                <w:rFonts w:ascii="Arial" w:hAnsi="Arial" w:cs="Arial"/>
              </w:rPr>
            </w:pPr>
            <w:r w:rsidRPr="005D5E20">
              <w:rPr>
                <w:rFonts w:ascii="Arial" w:hAnsi="Arial" w:cs="Arial"/>
              </w:rPr>
              <w:t>Tenant (office 3)</w:t>
            </w:r>
          </w:p>
        </w:tc>
        <w:tc>
          <w:tcPr>
            <w:tcW w:w="2410" w:type="dxa"/>
          </w:tcPr>
          <w:p w:rsidR="005D5E20" w:rsidRPr="005D5E20" w:rsidRDefault="005D5E20" w:rsidP="00B83727">
            <w:pPr>
              <w:rPr>
                <w:rFonts w:ascii="Arial" w:hAnsi="Arial" w:cs="Arial"/>
              </w:rPr>
            </w:pPr>
            <w:r w:rsidRPr="005D5E20">
              <w:rPr>
                <w:rFonts w:ascii="Arial" w:hAnsi="Arial" w:cs="Arial"/>
              </w:rPr>
              <w:t>993</w:t>
            </w:r>
          </w:p>
        </w:tc>
        <w:tc>
          <w:tcPr>
            <w:tcW w:w="2489" w:type="dxa"/>
          </w:tcPr>
          <w:p w:rsidR="005D5E20" w:rsidRPr="005D5E20" w:rsidRDefault="005D5E20" w:rsidP="00B83727">
            <w:pPr>
              <w:rPr>
                <w:rFonts w:ascii="Arial" w:hAnsi="Arial" w:cs="Arial"/>
              </w:rPr>
            </w:pPr>
            <w:r w:rsidRPr="005D5E20">
              <w:rPr>
                <w:rFonts w:ascii="Arial" w:hAnsi="Arial" w:cs="Arial"/>
              </w:rPr>
              <w:t>982</w:t>
            </w:r>
          </w:p>
        </w:tc>
      </w:tr>
      <w:tr w:rsidR="005D5E20" w:rsidRPr="00C55C5B" w:rsidTr="00B83727">
        <w:tc>
          <w:tcPr>
            <w:tcW w:w="2693" w:type="dxa"/>
          </w:tcPr>
          <w:p w:rsidR="005D5E20" w:rsidRPr="005D5E20" w:rsidRDefault="005D5E20" w:rsidP="00B83727">
            <w:pPr>
              <w:rPr>
                <w:rFonts w:ascii="Arial" w:hAnsi="Arial" w:cs="Arial"/>
              </w:rPr>
            </w:pPr>
            <w:r w:rsidRPr="005D5E20">
              <w:rPr>
                <w:rFonts w:ascii="Arial" w:hAnsi="Arial" w:cs="Arial"/>
              </w:rPr>
              <w:t>Room Hire – events after year end</w:t>
            </w:r>
          </w:p>
        </w:tc>
        <w:tc>
          <w:tcPr>
            <w:tcW w:w="2410" w:type="dxa"/>
          </w:tcPr>
          <w:p w:rsidR="005D5E20" w:rsidRPr="005D5E20" w:rsidRDefault="005D5E20" w:rsidP="00B83727">
            <w:pPr>
              <w:rPr>
                <w:rFonts w:ascii="Arial" w:hAnsi="Arial" w:cs="Arial"/>
              </w:rPr>
            </w:pPr>
            <w:r w:rsidRPr="005D5E20">
              <w:rPr>
                <w:rFonts w:ascii="Arial" w:hAnsi="Arial" w:cs="Arial"/>
              </w:rPr>
              <w:t>1,628</w:t>
            </w:r>
          </w:p>
        </w:tc>
        <w:tc>
          <w:tcPr>
            <w:tcW w:w="2489" w:type="dxa"/>
          </w:tcPr>
          <w:p w:rsidR="005D5E20" w:rsidRPr="005D5E20" w:rsidRDefault="005D5E20" w:rsidP="00B83727">
            <w:pPr>
              <w:rPr>
                <w:rFonts w:ascii="Arial" w:hAnsi="Arial" w:cs="Arial"/>
              </w:rPr>
            </w:pPr>
            <w:r w:rsidRPr="005D5E20">
              <w:rPr>
                <w:rFonts w:ascii="Arial" w:hAnsi="Arial" w:cs="Arial"/>
              </w:rPr>
              <w:t>829</w:t>
            </w:r>
          </w:p>
        </w:tc>
      </w:tr>
      <w:tr w:rsidR="005D5E20" w:rsidRPr="00C55C5B" w:rsidTr="00B83727">
        <w:tc>
          <w:tcPr>
            <w:tcW w:w="2693" w:type="dxa"/>
          </w:tcPr>
          <w:p w:rsidR="005D5E20" w:rsidRPr="005D5E20" w:rsidRDefault="005D5E20" w:rsidP="00B83727">
            <w:pPr>
              <w:rPr>
                <w:rFonts w:ascii="Arial" w:hAnsi="Arial" w:cs="Arial"/>
              </w:rPr>
            </w:pPr>
            <w:r w:rsidRPr="005D5E20">
              <w:rPr>
                <w:rFonts w:ascii="Arial" w:hAnsi="Arial" w:cs="Arial"/>
              </w:rPr>
              <w:t xml:space="preserve">Celebrate Duston – Table top money in advance </w:t>
            </w:r>
          </w:p>
        </w:tc>
        <w:tc>
          <w:tcPr>
            <w:tcW w:w="2410" w:type="dxa"/>
          </w:tcPr>
          <w:p w:rsidR="005D5E20" w:rsidRPr="005D5E20" w:rsidRDefault="005D5E20" w:rsidP="00B83727">
            <w:pPr>
              <w:rPr>
                <w:rFonts w:ascii="Arial" w:hAnsi="Arial" w:cs="Arial"/>
              </w:rPr>
            </w:pPr>
            <w:r w:rsidRPr="005D5E20">
              <w:rPr>
                <w:rFonts w:ascii="Arial" w:hAnsi="Arial" w:cs="Arial"/>
              </w:rPr>
              <w:t>112</w:t>
            </w:r>
          </w:p>
        </w:tc>
        <w:tc>
          <w:tcPr>
            <w:tcW w:w="2489" w:type="dxa"/>
          </w:tcPr>
          <w:p w:rsidR="005D5E20" w:rsidRPr="005D5E20" w:rsidRDefault="005D5E20" w:rsidP="00B83727">
            <w:pPr>
              <w:rPr>
                <w:rFonts w:ascii="Arial" w:hAnsi="Arial" w:cs="Arial"/>
              </w:rPr>
            </w:pPr>
            <w:r w:rsidRPr="005D5E20">
              <w:rPr>
                <w:rFonts w:ascii="Arial" w:hAnsi="Arial" w:cs="Arial"/>
              </w:rPr>
              <w:t>159</w:t>
            </w:r>
          </w:p>
        </w:tc>
      </w:tr>
      <w:tr w:rsidR="00813CF3" w:rsidTr="00B83727">
        <w:tc>
          <w:tcPr>
            <w:tcW w:w="2693" w:type="dxa"/>
          </w:tcPr>
          <w:p w:rsidR="00813CF3" w:rsidRPr="003F2DA2" w:rsidRDefault="00813CF3" w:rsidP="00B83727">
            <w:pPr>
              <w:rPr>
                <w:rFonts w:ascii="Arial" w:hAnsi="Arial" w:cs="Arial"/>
                <w:b/>
              </w:rPr>
            </w:pPr>
            <w:r w:rsidRPr="003F2DA2">
              <w:rPr>
                <w:rFonts w:ascii="Arial" w:hAnsi="Arial" w:cs="Arial"/>
                <w:b/>
              </w:rPr>
              <w:t>TOTAL</w:t>
            </w:r>
          </w:p>
        </w:tc>
        <w:tc>
          <w:tcPr>
            <w:tcW w:w="2410" w:type="dxa"/>
          </w:tcPr>
          <w:p w:rsidR="00813CF3" w:rsidRPr="005D5E20" w:rsidRDefault="005D5E20" w:rsidP="00B83727">
            <w:pPr>
              <w:rPr>
                <w:rFonts w:ascii="Arial" w:hAnsi="Arial" w:cs="Arial"/>
              </w:rPr>
            </w:pPr>
            <w:r w:rsidRPr="005D5E20">
              <w:rPr>
                <w:rFonts w:ascii="Arial" w:hAnsi="Arial" w:cs="Arial"/>
              </w:rPr>
              <w:t>17845</w:t>
            </w:r>
          </w:p>
        </w:tc>
        <w:tc>
          <w:tcPr>
            <w:tcW w:w="2489" w:type="dxa"/>
          </w:tcPr>
          <w:p w:rsidR="00813CF3" w:rsidRPr="005D5E20" w:rsidRDefault="005D5E20" w:rsidP="00B83727">
            <w:pPr>
              <w:rPr>
                <w:rFonts w:ascii="Arial" w:hAnsi="Arial" w:cs="Arial"/>
              </w:rPr>
            </w:pPr>
            <w:r w:rsidRPr="005D5E20">
              <w:rPr>
                <w:rFonts w:ascii="Arial" w:hAnsi="Arial" w:cs="Arial"/>
              </w:rPr>
              <w:t>15577</w:t>
            </w:r>
          </w:p>
        </w:tc>
      </w:tr>
    </w:tbl>
    <w:p w:rsidR="00813CF3" w:rsidRDefault="00813CF3" w:rsidP="00813CF3">
      <w:pPr>
        <w:rPr>
          <w:rFonts w:ascii="Arial" w:hAnsi="Arial" w:cs="Arial"/>
          <w:b/>
        </w:rPr>
      </w:pPr>
    </w:p>
    <w:p w:rsidR="009E4DCE" w:rsidRDefault="009E4DCE" w:rsidP="00813CF3">
      <w:pPr>
        <w:rPr>
          <w:rFonts w:ascii="Arial" w:hAnsi="Arial" w:cs="Arial"/>
          <w:b/>
        </w:rPr>
      </w:pPr>
    </w:p>
    <w:p w:rsidR="00813CF3" w:rsidRDefault="00813CF3" w:rsidP="00813CF3">
      <w:pPr>
        <w:rPr>
          <w:rFonts w:ascii="Arial" w:hAnsi="Arial" w:cs="Arial"/>
          <w:b/>
        </w:rPr>
      </w:pPr>
      <w:r>
        <w:rPr>
          <w:rFonts w:ascii="Arial" w:hAnsi="Arial" w:cs="Arial"/>
          <w:b/>
        </w:rPr>
        <w:t>4.</w:t>
      </w:r>
      <w:r>
        <w:rPr>
          <w:rFonts w:ascii="Arial" w:hAnsi="Arial" w:cs="Arial"/>
          <w:b/>
        </w:rPr>
        <w:tab/>
      </w:r>
      <w:r w:rsidRPr="00813CF3">
        <w:rPr>
          <w:rFonts w:ascii="Arial" w:hAnsi="Arial" w:cs="Arial"/>
          <w:b/>
          <w:u w:val="single"/>
        </w:rPr>
        <w:t>OTHER BALANCE SHEET ITEMS</w:t>
      </w:r>
    </w:p>
    <w:p w:rsidR="00813CF3" w:rsidRDefault="00813CF3" w:rsidP="00813CF3">
      <w:pPr>
        <w:rPr>
          <w:rFonts w:ascii="Arial" w:hAnsi="Arial" w:cs="Arial"/>
          <w:b/>
        </w:rPr>
      </w:pPr>
    </w:p>
    <w:p w:rsidR="00813CF3" w:rsidRPr="00246251" w:rsidRDefault="00813CF3" w:rsidP="00813CF3">
      <w:pPr>
        <w:ind w:left="720"/>
        <w:rPr>
          <w:rFonts w:ascii="Arial" w:hAnsi="Arial" w:cs="Arial"/>
        </w:rPr>
      </w:pPr>
      <w:r>
        <w:rPr>
          <w:rFonts w:ascii="Arial" w:hAnsi="Arial" w:cs="Arial"/>
          <w:b/>
        </w:rPr>
        <w:t xml:space="preserve">Cash and Bank Balances – </w:t>
      </w:r>
      <w:r>
        <w:rPr>
          <w:rFonts w:ascii="Arial" w:hAnsi="Arial" w:cs="Arial"/>
        </w:rPr>
        <w:t>At the 31</w:t>
      </w:r>
      <w:r w:rsidRPr="00813CF3">
        <w:rPr>
          <w:rFonts w:ascii="Arial" w:hAnsi="Arial" w:cs="Arial"/>
          <w:vertAlign w:val="superscript"/>
        </w:rPr>
        <w:t>st</w:t>
      </w:r>
      <w:r>
        <w:rPr>
          <w:rFonts w:ascii="Arial" w:hAnsi="Arial" w:cs="Arial"/>
        </w:rPr>
        <w:t xml:space="preserve"> March the Council held </w:t>
      </w:r>
      <w:r w:rsidRPr="00246251">
        <w:rPr>
          <w:rFonts w:ascii="Arial" w:hAnsi="Arial" w:cs="Arial"/>
        </w:rPr>
        <w:t>£</w:t>
      </w:r>
      <w:r w:rsidR="001C3AA3" w:rsidRPr="00246251">
        <w:rPr>
          <w:rFonts w:ascii="Arial" w:hAnsi="Arial" w:cs="Arial"/>
        </w:rPr>
        <w:t>536,031.97</w:t>
      </w:r>
      <w:r w:rsidRPr="00246251">
        <w:rPr>
          <w:rFonts w:ascii="Arial" w:hAnsi="Arial" w:cs="Arial"/>
        </w:rPr>
        <w:t xml:space="preserve"> in bank accounts and £</w:t>
      </w:r>
      <w:r w:rsidR="009E4DCE" w:rsidRPr="00246251">
        <w:rPr>
          <w:rFonts w:ascii="Arial" w:hAnsi="Arial" w:cs="Arial"/>
        </w:rPr>
        <w:t>280.15</w:t>
      </w:r>
      <w:r w:rsidRPr="00246251">
        <w:rPr>
          <w:rFonts w:ascii="Arial" w:hAnsi="Arial" w:cs="Arial"/>
        </w:rPr>
        <w:t xml:space="preserve"> in petty cash</w:t>
      </w:r>
      <w:r w:rsidR="009E4DCE" w:rsidRPr="00246251">
        <w:rPr>
          <w:rFonts w:ascii="Arial" w:hAnsi="Arial" w:cs="Arial"/>
        </w:rPr>
        <w:t xml:space="preserve"> and various floats</w:t>
      </w:r>
      <w:r w:rsidRPr="00246251">
        <w:rPr>
          <w:rFonts w:ascii="Arial" w:hAnsi="Arial" w:cs="Arial"/>
        </w:rPr>
        <w:t>.</w:t>
      </w:r>
      <w:r w:rsidR="001C3AA3" w:rsidRPr="00246251">
        <w:rPr>
          <w:rFonts w:ascii="Arial" w:hAnsi="Arial" w:cs="Arial"/>
        </w:rPr>
        <w:t xml:space="preserve">  The balance per the bank statements before taking into account </w:t>
      </w:r>
      <w:proofErr w:type="spellStart"/>
      <w:r w:rsidR="001C3AA3" w:rsidRPr="00246251">
        <w:rPr>
          <w:rFonts w:ascii="Arial" w:hAnsi="Arial" w:cs="Arial"/>
        </w:rPr>
        <w:t>uncleared</w:t>
      </w:r>
      <w:proofErr w:type="spellEnd"/>
      <w:r w:rsidR="001C3AA3" w:rsidRPr="00246251">
        <w:rPr>
          <w:rFonts w:ascii="Arial" w:hAnsi="Arial" w:cs="Arial"/>
        </w:rPr>
        <w:t xml:space="preserve"> items as at 31 March 2018 totalled £540,362.53.</w:t>
      </w:r>
    </w:p>
    <w:p w:rsidR="009E4DCE" w:rsidRPr="00246251" w:rsidRDefault="009E4DCE" w:rsidP="00813CF3">
      <w:pPr>
        <w:ind w:left="720"/>
        <w:rPr>
          <w:rFonts w:ascii="Arial" w:hAnsi="Arial" w:cs="Arial"/>
        </w:rPr>
      </w:pPr>
    </w:p>
    <w:p w:rsidR="00813CF3" w:rsidRDefault="00813CF3" w:rsidP="00813CF3">
      <w:pPr>
        <w:ind w:left="720"/>
        <w:rPr>
          <w:rFonts w:ascii="Arial" w:hAnsi="Arial" w:cs="Arial"/>
        </w:rPr>
      </w:pPr>
      <w:r w:rsidRPr="00246251">
        <w:rPr>
          <w:rFonts w:ascii="Arial" w:hAnsi="Arial" w:cs="Arial"/>
        </w:rPr>
        <w:t>The Council is required to ensure that is has sufficient funds to be able to pay staff salaries, trade creditors, HMRC and pension scheme contributions in April before the first half of the follow year’s precept is received at the end of April. The first instalment of the precept amounting to £</w:t>
      </w:r>
      <w:r w:rsidR="001C3AA3" w:rsidRPr="00246251">
        <w:rPr>
          <w:rFonts w:ascii="Arial" w:hAnsi="Arial" w:cs="Arial"/>
        </w:rPr>
        <w:t>233,600</w:t>
      </w:r>
      <w:r w:rsidRPr="00246251">
        <w:rPr>
          <w:rFonts w:ascii="Arial" w:hAnsi="Arial" w:cs="Arial"/>
        </w:rPr>
        <w:t xml:space="preserve"> was received as cleared funds</w:t>
      </w:r>
      <w:r w:rsidR="001C3AA3" w:rsidRPr="00246251">
        <w:rPr>
          <w:rFonts w:ascii="Arial" w:hAnsi="Arial" w:cs="Arial"/>
        </w:rPr>
        <w:t xml:space="preserve"> o</w:t>
      </w:r>
      <w:r w:rsidR="00A3792B" w:rsidRPr="00246251">
        <w:rPr>
          <w:rFonts w:ascii="Arial" w:hAnsi="Arial" w:cs="Arial"/>
        </w:rPr>
        <w:t>n</w:t>
      </w:r>
      <w:r w:rsidR="001C3AA3" w:rsidRPr="00246251">
        <w:rPr>
          <w:rFonts w:ascii="Arial" w:hAnsi="Arial" w:cs="Arial"/>
        </w:rPr>
        <w:t xml:space="preserve"> 19</w:t>
      </w:r>
      <w:r w:rsidRPr="00246251">
        <w:rPr>
          <w:rFonts w:ascii="Arial" w:hAnsi="Arial" w:cs="Arial"/>
        </w:rPr>
        <w:t xml:space="preserve"> April</w:t>
      </w:r>
      <w:r w:rsidR="001C3AA3" w:rsidRPr="00246251">
        <w:rPr>
          <w:rFonts w:ascii="Arial" w:hAnsi="Arial" w:cs="Arial"/>
        </w:rPr>
        <w:t xml:space="preserve"> 2018</w:t>
      </w:r>
      <w:r w:rsidRPr="00246251">
        <w:rPr>
          <w:rFonts w:ascii="Arial" w:hAnsi="Arial" w:cs="Arial"/>
        </w:rPr>
        <w:t>.</w:t>
      </w:r>
      <w:r>
        <w:rPr>
          <w:rFonts w:ascii="Arial" w:hAnsi="Arial" w:cs="Arial"/>
        </w:rPr>
        <w:t xml:space="preserve"> </w:t>
      </w:r>
    </w:p>
    <w:p w:rsidR="00813CF3" w:rsidRDefault="00813CF3" w:rsidP="00813CF3">
      <w:pPr>
        <w:ind w:left="720"/>
        <w:rPr>
          <w:rFonts w:ascii="Arial" w:hAnsi="Arial" w:cs="Arial"/>
        </w:rPr>
      </w:pPr>
    </w:p>
    <w:p w:rsidR="00813CF3" w:rsidRDefault="00813CF3" w:rsidP="00813CF3">
      <w:pPr>
        <w:ind w:left="720"/>
        <w:rPr>
          <w:rFonts w:ascii="Arial" w:hAnsi="Arial" w:cs="Arial"/>
        </w:rPr>
      </w:pPr>
      <w:r w:rsidRPr="00813CF3">
        <w:rPr>
          <w:rFonts w:ascii="Arial" w:hAnsi="Arial" w:cs="Arial"/>
          <w:b/>
        </w:rPr>
        <w:t>Debtors –</w:t>
      </w:r>
      <w:r>
        <w:rPr>
          <w:rFonts w:ascii="Arial" w:hAnsi="Arial" w:cs="Arial"/>
        </w:rPr>
        <w:t xml:space="preserve"> The year end debtor balance represents the following:</w:t>
      </w:r>
    </w:p>
    <w:p w:rsidR="00813CF3" w:rsidRDefault="00813CF3" w:rsidP="00813CF3">
      <w:pPr>
        <w:ind w:left="720"/>
        <w:rPr>
          <w:rFonts w:ascii="Arial" w:hAnsi="Arial" w:cs="Arial"/>
        </w:rPr>
      </w:pPr>
    </w:p>
    <w:tbl>
      <w:tblPr>
        <w:tblStyle w:val="TableGrid"/>
        <w:tblW w:w="7671" w:type="dxa"/>
        <w:tblInd w:w="704" w:type="dxa"/>
        <w:tblLook w:val="04A0"/>
      </w:tblPr>
      <w:tblGrid>
        <w:gridCol w:w="2693"/>
        <w:gridCol w:w="2489"/>
        <w:gridCol w:w="2489"/>
      </w:tblGrid>
      <w:tr w:rsidR="003F2DA2" w:rsidTr="006666FB">
        <w:tc>
          <w:tcPr>
            <w:tcW w:w="2693" w:type="dxa"/>
          </w:tcPr>
          <w:p w:rsidR="003F2DA2" w:rsidRPr="00C55C5B" w:rsidRDefault="003F2DA2" w:rsidP="003F2DA2">
            <w:pPr>
              <w:rPr>
                <w:rFonts w:ascii="Arial" w:hAnsi="Arial" w:cs="Arial"/>
                <w:b/>
              </w:rPr>
            </w:pPr>
            <w:r w:rsidRPr="00C55C5B">
              <w:rPr>
                <w:rFonts w:ascii="Arial" w:hAnsi="Arial" w:cs="Arial"/>
                <w:b/>
              </w:rPr>
              <w:t>Debtors</w:t>
            </w:r>
          </w:p>
        </w:tc>
        <w:tc>
          <w:tcPr>
            <w:tcW w:w="2489" w:type="dxa"/>
          </w:tcPr>
          <w:p w:rsidR="003F2DA2" w:rsidRDefault="003F2DA2" w:rsidP="006666FB">
            <w:pPr>
              <w:jc w:val="right"/>
              <w:rPr>
                <w:rFonts w:ascii="Arial" w:hAnsi="Arial" w:cs="Arial"/>
                <w:b/>
              </w:rPr>
            </w:pPr>
            <w:r w:rsidRPr="00C55C5B">
              <w:rPr>
                <w:rFonts w:ascii="Arial" w:hAnsi="Arial" w:cs="Arial"/>
                <w:b/>
              </w:rPr>
              <w:t>2016/17</w:t>
            </w:r>
          </w:p>
          <w:p w:rsidR="003F2DA2" w:rsidRPr="00C55C5B" w:rsidRDefault="003F2DA2" w:rsidP="006666FB">
            <w:pPr>
              <w:jc w:val="right"/>
              <w:rPr>
                <w:rFonts w:ascii="Arial" w:hAnsi="Arial" w:cs="Arial"/>
                <w:b/>
              </w:rPr>
            </w:pPr>
            <w:r>
              <w:rPr>
                <w:rFonts w:ascii="Arial" w:hAnsi="Arial" w:cs="Arial"/>
                <w:b/>
              </w:rPr>
              <w:t>£</w:t>
            </w:r>
          </w:p>
        </w:tc>
        <w:tc>
          <w:tcPr>
            <w:tcW w:w="2489" w:type="dxa"/>
          </w:tcPr>
          <w:p w:rsidR="003F2DA2" w:rsidRDefault="003F2DA2" w:rsidP="006666FB">
            <w:pPr>
              <w:jc w:val="right"/>
              <w:rPr>
                <w:rFonts w:ascii="Arial" w:hAnsi="Arial" w:cs="Arial"/>
                <w:b/>
              </w:rPr>
            </w:pPr>
            <w:r w:rsidRPr="00C55C5B">
              <w:rPr>
                <w:rFonts w:ascii="Arial" w:hAnsi="Arial" w:cs="Arial"/>
                <w:b/>
              </w:rPr>
              <w:t>2017/18</w:t>
            </w:r>
          </w:p>
          <w:p w:rsidR="003F2DA2" w:rsidRPr="00C55C5B" w:rsidRDefault="003F2DA2" w:rsidP="006666FB">
            <w:pPr>
              <w:jc w:val="right"/>
              <w:rPr>
                <w:rFonts w:ascii="Arial" w:hAnsi="Arial" w:cs="Arial"/>
                <w:b/>
              </w:rPr>
            </w:pPr>
            <w:r>
              <w:rPr>
                <w:rFonts w:ascii="Arial" w:hAnsi="Arial" w:cs="Arial"/>
                <w:b/>
              </w:rPr>
              <w:t>£</w:t>
            </w:r>
          </w:p>
        </w:tc>
      </w:tr>
      <w:tr w:rsidR="003F2DA2" w:rsidTr="00F31C03">
        <w:tc>
          <w:tcPr>
            <w:tcW w:w="2693" w:type="dxa"/>
          </w:tcPr>
          <w:p w:rsidR="003F2DA2" w:rsidRDefault="003F2DA2" w:rsidP="003F2DA2">
            <w:pPr>
              <w:rPr>
                <w:rFonts w:ascii="Arial" w:hAnsi="Arial" w:cs="Arial"/>
              </w:rPr>
            </w:pPr>
            <w:r>
              <w:rPr>
                <w:rFonts w:ascii="Arial" w:hAnsi="Arial" w:cs="Arial"/>
              </w:rPr>
              <w:t>Debtors</w:t>
            </w:r>
          </w:p>
        </w:tc>
        <w:tc>
          <w:tcPr>
            <w:tcW w:w="2489" w:type="dxa"/>
          </w:tcPr>
          <w:p w:rsidR="003F2DA2" w:rsidRDefault="003F2DA2" w:rsidP="00F31C03">
            <w:pPr>
              <w:jc w:val="right"/>
              <w:rPr>
                <w:rFonts w:ascii="Arial" w:hAnsi="Arial" w:cs="Arial"/>
              </w:rPr>
            </w:pPr>
            <w:r>
              <w:rPr>
                <w:rFonts w:ascii="Arial" w:hAnsi="Arial" w:cs="Arial"/>
              </w:rPr>
              <w:t>9,558.63</w:t>
            </w:r>
          </w:p>
        </w:tc>
        <w:tc>
          <w:tcPr>
            <w:tcW w:w="2489" w:type="dxa"/>
          </w:tcPr>
          <w:p w:rsidR="003F2DA2" w:rsidRDefault="003F2DA2" w:rsidP="00F31C03">
            <w:pPr>
              <w:jc w:val="right"/>
              <w:rPr>
                <w:rFonts w:ascii="Arial" w:hAnsi="Arial" w:cs="Arial"/>
              </w:rPr>
            </w:pPr>
            <w:r>
              <w:rPr>
                <w:rFonts w:ascii="Arial" w:hAnsi="Arial" w:cs="Arial"/>
              </w:rPr>
              <w:t>48,850.70</w:t>
            </w:r>
          </w:p>
        </w:tc>
      </w:tr>
      <w:tr w:rsidR="003F2DA2" w:rsidTr="00F31C03">
        <w:tc>
          <w:tcPr>
            <w:tcW w:w="2693" w:type="dxa"/>
          </w:tcPr>
          <w:p w:rsidR="003F2DA2" w:rsidRDefault="003F2DA2" w:rsidP="003F2DA2">
            <w:pPr>
              <w:rPr>
                <w:rFonts w:ascii="Arial" w:hAnsi="Arial" w:cs="Arial"/>
              </w:rPr>
            </w:pPr>
            <w:r>
              <w:rPr>
                <w:rFonts w:ascii="Arial" w:hAnsi="Arial" w:cs="Arial"/>
              </w:rPr>
              <w:t xml:space="preserve">HMRC </w:t>
            </w:r>
            <w:r w:rsidRPr="003F2DA2">
              <w:rPr>
                <w:rFonts w:ascii="Arial" w:hAnsi="Arial" w:cs="Arial"/>
                <w:sz w:val="16"/>
                <w:szCs w:val="16"/>
              </w:rPr>
              <w:t>(VAT refund due)</w:t>
            </w:r>
          </w:p>
        </w:tc>
        <w:tc>
          <w:tcPr>
            <w:tcW w:w="2489" w:type="dxa"/>
          </w:tcPr>
          <w:p w:rsidR="003F2DA2" w:rsidRDefault="003F2DA2" w:rsidP="00F31C03">
            <w:pPr>
              <w:jc w:val="right"/>
              <w:rPr>
                <w:rFonts w:ascii="Arial" w:hAnsi="Arial" w:cs="Arial"/>
              </w:rPr>
            </w:pPr>
            <w:r>
              <w:rPr>
                <w:rFonts w:ascii="Arial" w:hAnsi="Arial" w:cs="Arial"/>
              </w:rPr>
              <w:t>90,471.47</w:t>
            </w:r>
          </w:p>
        </w:tc>
        <w:tc>
          <w:tcPr>
            <w:tcW w:w="2489" w:type="dxa"/>
          </w:tcPr>
          <w:p w:rsidR="003F2DA2" w:rsidRDefault="003F2DA2" w:rsidP="00F31C03">
            <w:pPr>
              <w:jc w:val="right"/>
              <w:rPr>
                <w:rFonts w:ascii="Arial" w:hAnsi="Arial" w:cs="Arial"/>
              </w:rPr>
            </w:pPr>
            <w:r>
              <w:rPr>
                <w:rFonts w:ascii="Arial" w:hAnsi="Arial" w:cs="Arial"/>
              </w:rPr>
              <w:t>75,392.94</w:t>
            </w:r>
          </w:p>
        </w:tc>
      </w:tr>
      <w:tr w:rsidR="003F2DA2" w:rsidTr="00F31C03">
        <w:tc>
          <w:tcPr>
            <w:tcW w:w="2693" w:type="dxa"/>
          </w:tcPr>
          <w:p w:rsidR="003F2DA2" w:rsidRDefault="003F2DA2" w:rsidP="003F2DA2">
            <w:pPr>
              <w:rPr>
                <w:rFonts w:ascii="Arial" w:hAnsi="Arial" w:cs="Arial"/>
              </w:rPr>
            </w:pPr>
            <w:r>
              <w:rPr>
                <w:rFonts w:ascii="Arial" w:hAnsi="Arial" w:cs="Arial"/>
              </w:rPr>
              <w:t>Disputed Debtor</w:t>
            </w:r>
          </w:p>
        </w:tc>
        <w:tc>
          <w:tcPr>
            <w:tcW w:w="2489" w:type="dxa"/>
          </w:tcPr>
          <w:p w:rsidR="003F2DA2" w:rsidRDefault="003F2DA2" w:rsidP="00F31C03">
            <w:pPr>
              <w:jc w:val="right"/>
              <w:rPr>
                <w:rFonts w:ascii="Arial" w:hAnsi="Arial" w:cs="Arial"/>
              </w:rPr>
            </w:pPr>
            <w:r>
              <w:rPr>
                <w:rFonts w:ascii="Arial" w:hAnsi="Arial" w:cs="Arial"/>
              </w:rPr>
              <w:t>220</w:t>
            </w:r>
            <w:r w:rsidR="00F31C03">
              <w:rPr>
                <w:rFonts w:ascii="Arial" w:hAnsi="Arial" w:cs="Arial"/>
              </w:rPr>
              <w:t>.00</w:t>
            </w:r>
          </w:p>
        </w:tc>
        <w:tc>
          <w:tcPr>
            <w:tcW w:w="2489" w:type="dxa"/>
          </w:tcPr>
          <w:p w:rsidR="003F2DA2" w:rsidRDefault="003F2DA2" w:rsidP="00F31C03">
            <w:pPr>
              <w:jc w:val="right"/>
              <w:rPr>
                <w:rFonts w:ascii="Arial" w:hAnsi="Arial" w:cs="Arial"/>
              </w:rPr>
            </w:pPr>
            <w:r>
              <w:rPr>
                <w:rFonts w:ascii="Arial" w:hAnsi="Arial" w:cs="Arial"/>
              </w:rPr>
              <w:t>220</w:t>
            </w:r>
            <w:r w:rsidR="00F31C03">
              <w:rPr>
                <w:rFonts w:ascii="Arial" w:hAnsi="Arial" w:cs="Arial"/>
              </w:rPr>
              <w:t>.00</w:t>
            </w:r>
          </w:p>
        </w:tc>
      </w:tr>
      <w:tr w:rsidR="003F2DA2" w:rsidTr="00F31C03">
        <w:trPr>
          <w:trHeight w:val="370"/>
        </w:trPr>
        <w:tc>
          <w:tcPr>
            <w:tcW w:w="2693" w:type="dxa"/>
          </w:tcPr>
          <w:p w:rsidR="003F2DA2" w:rsidRDefault="003F2DA2" w:rsidP="003F2DA2">
            <w:pPr>
              <w:rPr>
                <w:rFonts w:ascii="Arial" w:hAnsi="Arial" w:cs="Arial"/>
              </w:rPr>
            </w:pPr>
            <w:r>
              <w:rPr>
                <w:rFonts w:ascii="Arial" w:hAnsi="Arial" w:cs="Arial"/>
              </w:rPr>
              <w:t>Bad debt Provision</w:t>
            </w:r>
          </w:p>
        </w:tc>
        <w:tc>
          <w:tcPr>
            <w:tcW w:w="2489" w:type="dxa"/>
          </w:tcPr>
          <w:p w:rsidR="003F2DA2" w:rsidRDefault="003F2DA2" w:rsidP="00F31C03">
            <w:pPr>
              <w:jc w:val="right"/>
              <w:rPr>
                <w:rFonts w:ascii="Arial" w:hAnsi="Arial" w:cs="Arial"/>
              </w:rPr>
            </w:pPr>
            <w:r>
              <w:rPr>
                <w:rFonts w:ascii="Arial" w:hAnsi="Arial" w:cs="Arial"/>
              </w:rPr>
              <w:t>0</w:t>
            </w:r>
            <w:r w:rsidR="00F31C03">
              <w:rPr>
                <w:rFonts w:ascii="Arial" w:hAnsi="Arial" w:cs="Arial"/>
              </w:rPr>
              <w:t>.00</w:t>
            </w:r>
          </w:p>
        </w:tc>
        <w:tc>
          <w:tcPr>
            <w:tcW w:w="2489" w:type="dxa"/>
          </w:tcPr>
          <w:p w:rsidR="003F2DA2" w:rsidRDefault="003F2DA2" w:rsidP="00F31C03">
            <w:pPr>
              <w:jc w:val="right"/>
              <w:rPr>
                <w:rFonts w:ascii="Arial" w:hAnsi="Arial" w:cs="Arial"/>
              </w:rPr>
            </w:pPr>
            <w:r>
              <w:rPr>
                <w:rFonts w:ascii="Arial" w:hAnsi="Arial" w:cs="Arial"/>
              </w:rPr>
              <w:t>-7,758</w:t>
            </w:r>
            <w:r w:rsidR="00F31C03">
              <w:rPr>
                <w:rFonts w:ascii="Arial" w:hAnsi="Arial" w:cs="Arial"/>
              </w:rPr>
              <w:t>.00</w:t>
            </w:r>
          </w:p>
        </w:tc>
      </w:tr>
      <w:tr w:rsidR="00F31C03" w:rsidTr="00F31C03">
        <w:trPr>
          <w:trHeight w:val="370"/>
        </w:trPr>
        <w:tc>
          <w:tcPr>
            <w:tcW w:w="2693" w:type="dxa"/>
          </w:tcPr>
          <w:p w:rsidR="00F31C03" w:rsidRPr="00246251" w:rsidRDefault="00F31C03" w:rsidP="003F2DA2">
            <w:pPr>
              <w:rPr>
                <w:rFonts w:ascii="Arial" w:hAnsi="Arial" w:cs="Arial"/>
              </w:rPr>
            </w:pPr>
            <w:r w:rsidRPr="00246251">
              <w:rPr>
                <w:rFonts w:ascii="Arial" w:hAnsi="Arial" w:cs="Arial"/>
              </w:rPr>
              <w:lastRenderedPageBreak/>
              <w:t>Prepayments</w:t>
            </w:r>
          </w:p>
        </w:tc>
        <w:tc>
          <w:tcPr>
            <w:tcW w:w="2489" w:type="dxa"/>
          </w:tcPr>
          <w:p w:rsidR="00F31C03" w:rsidRPr="00246251" w:rsidRDefault="00F31C03" w:rsidP="00F31C03">
            <w:pPr>
              <w:jc w:val="right"/>
              <w:rPr>
                <w:rFonts w:ascii="Arial" w:hAnsi="Arial" w:cs="Arial"/>
              </w:rPr>
            </w:pPr>
            <w:r w:rsidRPr="00246251">
              <w:rPr>
                <w:rFonts w:ascii="Arial" w:hAnsi="Arial" w:cs="Arial"/>
              </w:rPr>
              <w:t>10,766.00</w:t>
            </w:r>
          </w:p>
        </w:tc>
        <w:tc>
          <w:tcPr>
            <w:tcW w:w="2489" w:type="dxa"/>
          </w:tcPr>
          <w:p w:rsidR="00F31C03" w:rsidRPr="00246251" w:rsidRDefault="00F31C03" w:rsidP="00F31C03">
            <w:pPr>
              <w:jc w:val="right"/>
              <w:rPr>
                <w:rFonts w:ascii="Arial" w:hAnsi="Arial" w:cs="Arial"/>
              </w:rPr>
            </w:pPr>
            <w:r w:rsidRPr="00246251">
              <w:rPr>
                <w:rFonts w:ascii="Arial" w:hAnsi="Arial" w:cs="Arial"/>
              </w:rPr>
              <w:t>11,459.00</w:t>
            </w:r>
          </w:p>
        </w:tc>
      </w:tr>
      <w:tr w:rsidR="003F2DA2" w:rsidTr="00F31C03">
        <w:tc>
          <w:tcPr>
            <w:tcW w:w="2693" w:type="dxa"/>
          </w:tcPr>
          <w:p w:rsidR="003F2DA2" w:rsidRPr="00C55C5B" w:rsidRDefault="003F2DA2" w:rsidP="003F2DA2">
            <w:pPr>
              <w:rPr>
                <w:rFonts w:ascii="Arial" w:hAnsi="Arial" w:cs="Arial"/>
                <w:b/>
              </w:rPr>
            </w:pPr>
            <w:r w:rsidRPr="00C55C5B">
              <w:rPr>
                <w:rFonts w:ascii="Arial" w:hAnsi="Arial" w:cs="Arial"/>
                <w:b/>
              </w:rPr>
              <w:t>TOTAL</w:t>
            </w:r>
          </w:p>
        </w:tc>
        <w:tc>
          <w:tcPr>
            <w:tcW w:w="2489" w:type="dxa"/>
          </w:tcPr>
          <w:p w:rsidR="003F2DA2" w:rsidRDefault="0016486C" w:rsidP="00F31C03">
            <w:pPr>
              <w:jc w:val="right"/>
              <w:rPr>
                <w:rFonts w:ascii="Arial" w:hAnsi="Arial" w:cs="Arial"/>
              </w:rPr>
            </w:pPr>
            <w:r>
              <w:rPr>
                <w:rFonts w:ascii="Arial" w:hAnsi="Arial" w:cs="Arial"/>
              </w:rPr>
              <w:t>111,016.10</w:t>
            </w:r>
          </w:p>
        </w:tc>
        <w:tc>
          <w:tcPr>
            <w:tcW w:w="2489" w:type="dxa"/>
          </w:tcPr>
          <w:p w:rsidR="003F2DA2" w:rsidRDefault="0016486C" w:rsidP="00F31C03">
            <w:pPr>
              <w:jc w:val="right"/>
              <w:rPr>
                <w:rFonts w:ascii="Arial" w:hAnsi="Arial" w:cs="Arial"/>
              </w:rPr>
            </w:pPr>
            <w:r>
              <w:rPr>
                <w:rFonts w:ascii="Arial" w:hAnsi="Arial" w:cs="Arial"/>
              </w:rPr>
              <w:t>128,164.64</w:t>
            </w:r>
          </w:p>
        </w:tc>
      </w:tr>
    </w:tbl>
    <w:p w:rsidR="00F31C03" w:rsidRDefault="00F31C03" w:rsidP="00813CF3">
      <w:pPr>
        <w:ind w:left="720"/>
        <w:rPr>
          <w:rFonts w:ascii="Arial" w:hAnsi="Arial" w:cs="Arial"/>
          <w:b/>
        </w:rPr>
      </w:pPr>
    </w:p>
    <w:p w:rsidR="00813CF3" w:rsidRDefault="00813CF3" w:rsidP="00813CF3">
      <w:pPr>
        <w:ind w:left="720"/>
        <w:rPr>
          <w:rFonts w:ascii="Arial" w:hAnsi="Arial" w:cs="Arial"/>
        </w:rPr>
      </w:pPr>
      <w:r w:rsidRPr="001E2927">
        <w:rPr>
          <w:rFonts w:ascii="Arial" w:hAnsi="Arial" w:cs="Arial"/>
          <w:b/>
        </w:rPr>
        <w:t>Creditors</w:t>
      </w:r>
      <w:r>
        <w:rPr>
          <w:rFonts w:ascii="Arial" w:hAnsi="Arial" w:cs="Arial"/>
        </w:rPr>
        <w:t xml:space="preserve"> – The year end creditor balance represents the following:</w:t>
      </w:r>
    </w:p>
    <w:p w:rsidR="00813CF3" w:rsidRDefault="00813CF3" w:rsidP="00813CF3">
      <w:pPr>
        <w:ind w:left="720"/>
        <w:rPr>
          <w:rFonts w:ascii="Arial" w:hAnsi="Arial" w:cs="Arial"/>
        </w:rPr>
      </w:pPr>
    </w:p>
    <w:tbl>
      <w:tblPr>
        <w:tblStyle w:val="TableGrid"/>
        <w:tblW w:w="9214" w:type="dxa"/>
        <w:tblInd w:w="137" w:type="dxa"/>
        <w:tblLook w:val="04A0"/>
      </w:tblPr>
      <w:tblGrid>
        <w:gridCol w:w="3260"/>
        <w:gridCol w:w="2410"/>
        <w:gridCol w:w="3544"/>
      </w:tblGrid>
      <w:tr w:rsidR="001F5793" w:rsidTr="006666FB">
        <w:tc>
          <w:tcPr>
            <w:tcW w:w="3260" w:type="dxa"/>
          </w:tcPr>
          <w:p w:rsidR="001F5793" w:rsidRPr="006666FB" w:rsidRDefault="001F5793" w:rsidP="00B83727">
            <w:pPr>
              <w:rPr>
                <w:rFonts w:ascii="Arial" w:hAnsi="Arial" w:cs="Arial"/>
                <w:b/>
              </w:rPr>
            </w:pPr>
            <w:r w:rsidRPr="006666FB">
              <w:rPr>
                <w:rFonts w:ascii="Arial" w:hAnsi="Arial" w:cs="Arial"/>
                <w:b/>
              </w:rPr>
              <w:t>Creditors</w:t>
            </w:r>
          </w:p>
        </w:tc>
        <w:tc>
          <w:tcPr>
            <w:tcW w:w="2410" w:type="dxa"/>
          </w:tcPr>
          <w:p w:rsidR="001F5793" w:rsidRPr="006666FB" w:rsidRDefault="001F5793" w:rsidP="006666FB">
            <w:pPr>
              <w:jc w:val="right"/>
              <w:rPr>
                <w:rFonts w:ascii="Arial" w:hAnsi="Arial" w:cs="Arial"/>
                <w:b/>
              </w:rPr>
            </w:pPr>
            <w:r w:rsidRPr="006666FB">
              <w:rPr>
                <w:rFonts w:ascii="Arial" w:hAnsi="Arial" w:cs="Arial"/>
                <w:b/>
              </w:rPr>
              <w:t>201</w:t>
            </w:r>
            <w:r w:rsidR="00A3792B" w:rsidRPr="006666FB">
              <w:rPr>
                <w:rFonts w:ascii="Arial" w:hAnsi="Arial" w:cs="Arial"/>
                <w:b/>
              </w:rPr>
              <w:t>6/17</w:t>
            </w:r>
          </w:p>
        </w:tc>
        <w:tc>
          <w:tcPr>
            <w:tcW w:w="3544" w:type="dxa"/>
          </w:tcPr>
          <w:p w:rsidR="001F5793" w:rsidRPr="006666FB" w:rsidRDefault="00A3792B" w:rsidP="006666FB">
            <w:pPr>
              <w:jc w:val="right"/>
              <w:rPr>
                <w:rFonts w:ascii="Arial" w:hAnsi="Arial" w:cs="Arial"/>
                <w:b/>
              </w:rPr>
            </w:pPr>
            <w:r w:rsidRPr="006666FB">
              <w:rPr>
                <w:rFonts w:ascii="Arial" w:hAnsi="Arial" w:cs="Arial"/>
                <w:b/>
              </w:rPr>
              <w:t>2017/18</w:t>
            </w:r>
          </w:p>
        </w:tc>
      </w:tr>
      <w:tr w:rsidR="001F5793" w:rsidTr="00F31C03">
        <w:tc>
          <w:tcPr>
            <w:tcW w:w="3260" w:type="dxa"/>
          </w:tcPr>
          <w:p w:rsidR="001F5793" w:rsidRPr="00A3792B" w:rsidRDefault="00A3792B" w:rsidP="00B83727">
            <w:pPr>
              <w:rPr>
                <w:rFonts w:ascii="Arial" w:hAnsi="Arial" w:cs="Arial"/>
              </w:rPr>
            </w:pPr>
            <w:r w:rsidRPr="00A3792B">
              <w:rPr>
                <w:rFonts w:ascii="Arial" w:hAnsi="Arial" w:cs="Arial"/>
              </w:rPr>
              <w:t>Purchase Ledger (includes PAYE and LGPS)</w:t>
            </w:r>
          </w:p>
        </w:tc>
        <w:tc>
          <w:tcPr>
            <w:tcW w:w="2410" w:type="dxa"/>
          </w:tcPr>
          <w:p w:rsidR="001F5793" w:rsidRPr="00A3792B" w:rsidRDefault="00A3792B" w:rsidP="00F31C03">
            <w:pPr>
              <w:jc w:val="right"/>
              <w:rPr>
                <w:rFonts w:ascii="Arial" w:hAnsi="Arial" w:cs="Arial"/>
              </w:rPr>
            </w:pPr>
            <w:r w:rsidRPr="00A3792B">
              <w:rPr>
                <w:rFonts w:ascii="Arial" w:hAnsi="Arial" w:cs="Arial"/>
              </w:rPr>
              <w:t>21,346.41</w:t>
            </w:r>
          </w:p>
        </w:tc>
        <w:tc>
          <w:tcPr>
            <w:tcW w:w="3544" w:type="dxa"/>
          </w:tcPr>
          <w:p w:rsidR="001F5793" w:rsidRPr="00A3792B" w:rsidRDefault="00A3792B" w:rsidP="00F31C03">
            <w:pPr>
              <w:jc w:val="right"/>
              <w:rPr>
                <w:rFonts w:ascii="Arial" w:hAnsi="Arial" w:cs="Arial"/>
              </w:rPr>
            </w:pPr>
            <w:r w:rsidRPr="00A3792B">
              <w:rPr>
                <w:rFonts w:ascii="Arial" w:hAnsi="Arial" w:cs="Arial"/>
              </w:rPr>
              <w:t>32,515.57</w:t>
            </w:r>
          </w:p>
        </w:tc>
      </w:tr>
      <w:tr w:rsidR="001F5793" w:rsidTr="00F31C03">
        <w:tc>
          <w:tcPr>
            <w:tcW w:w="3260" w:type="dxa"/>
          </w:tcPr>
          <w:p w:rsidR="001F5793" w:rsidRPr="00A3792B" w:rsidRDefault="00A3792B" w:rsidP="00B83727">
            <w:pPr>
              <w:rPr>
                <w:rFonts w:ascii="Arial" w:hAnsi="Arial" w:cs="Arial"/>
              </w:rPr>
            </w:pPr>
            <w:r w:rsidRPr="00A3792B">
              <w:rPr>
                <w:rFonts w:ascii="Arial" w:hAnsi="Arial" w:cs="Arial"/>
              </w:rPr>
              <w:t xml:space="preserve">VAT payable </w:t>
            </w:r>
          </w:p>
        </w:tc>
        <w:tc>
          <w:tcPr>
            <w:tcW w:w="2410" w:type="dxa"/>
          </w:tcPr>
          <w:p w:rsidR="001F5793" w:rsidRPr="00A3792B" w:rsidRDefault="00A3792B" w:rsidP="00F31C03">
            <w:pPr>
              <w:jc w:val="right"/>
              <w:rPr>
                <w:rFonts w:ascii="Arial" w:hAnsi="Arial" w:cs="Arial"/>
              </w:rPr>
            </w:pPr>
            <w:r w:rsidRPr="00A3792B">
              <w:rPr>
                <w:rFonts w:ascii="Arial" w:hAnsi="Arial" w:cs="Arial"/>
              </w:rPr>
              <w:t>533.84</w:t>
            </w:r>
          </w:p>
        </w:tc>
        <w:tc>
          <w:tcPr>
            <w:tcW w:w="3544" w:type="dxa"/>
          </w:tcPr>
          <w:p w:rsidR="001F5793" w:rsidRPr="00A3792B" w:rsidRDefault="00A3792B" w:rsidP="00F31C03">
            <w:pPr>
              <w:jc w:val="right"/>
              <w:rPr>
                <w:rFonts w:ascii="Arial" w:hAnsi="Arial" w:cs="Arial"/>
              </w:rPr>
            </w:pPr>
            <w:r w:rsidRPr="00A3792B">
              <w:rPr>
                <w:rFonts w:ascii="Arial" w:hAnsi="Arial" w:cs="Arial"/>
              </w:rPr>
              <w:t>6,736.52</w:t>
            </w:r>
          </w:p>
        </w:tc>
      </w:tr>
      <w:tr w:rsidR="00A3792B" w:rsidTr="00F31C03">
        <w:tc>
          <w:tcPr>
            <w:tcW w:w="3260" w:type="dxa"/>
          </w:tcPr>
          <w:p w:rsidR="00A3792B" w:rsidRPr="00A3792B" w:rsidRDefault="00A3792B" w:rsidP="00B83727">
            <w:pPr>
              <w:rPr>
                <w:rFonts w:ascii="Arial" w:hAnsi="Arial" w:cs="Arial"/>
              </w:rPr>
            </w:pPr>
            <w:r w:rsidRPr="00A3792B">
              <w:rPr>
                <w:rFonts w:ascii="Arial" w:hAnsi="Arial" w:cs="Arial"/>
              </w:rPr>
              <w:t>Refundable deposits</w:t>
            </w:r>
          </w:p>
        </w:tc>
        <w:tc>
          <w:tcPr>
            <w:tcW w:w="2410" w:type="dxa"/>
          </w:tcPr>
          <w:p w:rsidR="00A3792B" w:rsidRPr="00A3792B" w:rsidRDefault="00A3792B" w:rsidP="00F31C03">
            <w:pPr>
              <w:jc w:val="right"/>
              <w:rPr>
                <w:rFonts w:ascii="Arial" w:hAnsi="Arial" w:cs="Arial"/>
              </w:rPr>
            </w:pPr>
            <w:r w:rsidRPr="00A3792B">
              <w:rPr>
                <w:rFonts w:ascii="Arial" w:hAnsi="Arial" w:cs="Arial"/>
              </w:rPr>
              <w:t>100</w:t>
            </w:r>
            <w:r w:rsidR="00F31C03">
              <w:rPr>
                <w:rFonts w:ascii="Arial" w:hAnsi="Arial" w:cs="Arial"/>
              </w:rPr>
              <w:t>.00</w:t>
            </w:r>
          </w:p>
        </w:tc>
        <w:tc>
          <w:tcPr>
            <w:tcW w:w="3544" w:type="dxa"/>
          </w:tcPr>
          <w:p w:rsidR="00A3792B" w:rsidRPr="00A3792B" w:rsidRDefault="00A3792B" w:rsidP="00F31C03">
            <w:pPr>
              <w:jc w:val="right"/>
              <w:rPr>
                <w:rFonts w:ascii="Arial" w:hAnsi="Arial" w:cs="Arial"/>
              </w:rPr>
            </w:pPr>
            <w:r w:rsidRPr="00A3792B">
              <w:rPr>
                <w:rFonts w:ascii="Arial" w:hAnsi="Arial" w:cs="Arial"/>
              </w:rPr>
              <w:t>156.66</w:t>
            </w:r>
          </w:p>
        </w:tc>
      </w:tr>
      <w:tr w:rsidR="00A3792B" w:rsidTr="00F31C03">
        <w:tc>
          <w:tcPr>
            <w:tcW w:w="3260" w:type="dxa"/>
          </w:tcPr>
          <w:p w:rsidR="00A3792B" w:rsidRPr="00A3792B" w:rsidRDefault="00A3792B" w:rsidP="00B83727">
            <w:pPr>
              <w:rPr>
                <w:rFonts w:ascii="Arial" w:hAnsi="Arial" w:cs="Arial"/>
              </w:rPr>
            </w:pPr>
            <w:r w:rsidRPr="00A3792B">
              <w:rPr>
                <w:rFonts w:ascii="Arial" w:hAnsi="Arial" w:cs="Arial"/>
              </w:rPr>
              <w:t>Security Bonds</w:t>
            </w:r>
          </w:p>
        </w:tc>
        <w:tc>
          <w:tcPr>
            <w:tcW w:w="2410" w:type="dxa"/>
          </w:tcPr>
          <w:p w:rsidR="00A3792B" w:rsidRPr="00A3792B" w:rsidRDefault="00A3792B" w:rsidP="00F31C03">
            <w:pPr>
              <w:jc w:val="right"/>
              <w:rPr>
                <w:rFonts w:ascii="Arial" w:hAnsi="Arial" w:cs="Arial"/>
              </w:rPr>
            </w:pPr>
            <w:r w:rsidRPr="00A3792B">
              <w:rPr>
                <w:rFonts w:ascii="Arial" w:hAnsi="Arial" w:cs="Arial"/>
              </w:rPr>
              <w:t>150</w:t>
            </w:r>
            <w:r w:rsidR="00F31C03">
              <w:rPr>
                <w:rFonts w:ascii="Arial" w:hAnsi="Arial" w:cs="Arial"/>
              </w:rPr>
              <w:t>.00</w:t>
            </w:r>
          </w:p>
        </w:tc>
        <w:tc>
          <w:tcPr>
            <w:tcW w:w="3544" w:type="dxa"/>
          </w:tcPr>
          <w:p w:rsidR="00A3792B" w:rsidRPr="00A3792B" w:rsidRDefault="00A3792B" w:rsidP="00F31C03">
            <w:pPr>
              <w:jc w:val="right"/>
              <w:rPr>
                <w:rFonts w:ascii="Arial" w:hAnsi="Arial" w:cs="Arial"/>
              </w:rPr>
            </w:pPr>
            <w:r w:rsidRPr="00A3792B">
              <w:rPr>
                <w:rFonts w:ascii="Arial" w:hAnsi="Arial" w:cs="Arial"/>
              </w:rPr>
              <w:t>0</w:t>
            </w:r>
            <w:r w:rsidR="00F31C03">
              <w:rPr>
                <w:rFonts w:ascii="Arial" w:hAnsi="Arial" w:cs="Arial"/>
              </w:rPr>
              <w:t>.00</w:t>
            </w:r>
          </w:p>
        </w:tc>
      </w:tr>
      <w:tr w:rsidR="00A3792B" w:rsidTr="00F31C03">
        <w:tc>
          <w:tcPr>
            <w:tcW w:w="3260" w:type="dxa"/>
          </w:tcPr>
          <w:p w:rsidR="00A3792B" w:rsidRPr="00A3792B" w:rsidRDefault="00F31C03" w:rsidP="00B83727">
            <w:pPr>
              <w:rPr>
                <w:rFonts w:ascii="Arial" w:hAnsi="Arial" w:cs="Arial"/>
              </w:rPr>
            </w:pPr>
            <w:r>
              <w:rPr>
                <w:rFonts w:ascii="Arial" w:hAnsi="Arial" w:cs="Arial"/>
              </w:rPr>
              <w:t>Acc</w:t>
            </w:r>
            <w:r w:rsidR="00A3792B" w:rsidRPr="00A3792B">
              <w:rPr>
                <w:rFonts w:ascii="Arial" w:hAnsi="Arial" w:cs="Arial"/>
              </w:rPr>
              <w:t>r</w:t>
            </w:r>
            <w:r>
              <w:rPr>
                <w:rFonts w:ascii="Arial" w:hAnsi="Arial" w:cs="Arial"/>
              </w:rPr>
              <w:t>u</w:t>
            </w:r>
            <w:r w:rsidR="00A3792B" w:rsidRPr="00A3792B">
              <w:rPr>
                <w:rFonts w:ascii="Arial" w:hAnsi="Arial" w:cs="Arial"/>
              </w:rPr>
              <w:t>als</w:t>
            </w:r>
          </w:p>
        </w:tc>
        <w:tc>
          <w:tcPr>
            <w:tcW w:w="2410" w:type="dxa"/>
          </w:tcPr>
          <w:p w:rsidR="00A3792B" w:rsidRPr="00A3792B" w:rsidRDefault="00A3792B" w:rsidP="00F31C03">
            <w:pPr>
              <w:jc w:val="right"/>
              <w:rPr>
                <w:rFonts w:ascii="Arial" w:hAnsi="Arial" w:cs="Arial"/>
              </w:rPr>
            </w:pPr>
            <w:r w:rsidRPr="00A3792B">
              <w:rPr>
                <w:rFonts w:ascii="Arial" w:hAnsi="Arial" w:cs="Arial"/>
              </w:rPr>
              <w:t>6,504</w:t>
            </w:r>
            <w:r w:rsidR="00F31C03">
              <w:rPr>
                <w:rFonts w:ascii="Arial" w:hAnsi="Arial" w:cs="Arial"/>
              </w:rPr>
              <w:t>.00</w:t>
            </w:r>
          </w:p>
        </w:tc>
        <w:tc>
          <w:tcPr>
            <w:tcW w:w="3544" w:type="dxa"/>
          </w:tcPr>
          <w:p w:rsidR="00A3792B" w:rsidRPr="00A3792B" w:rsidRDefault="00A3792B" w:rsidP="00F31C03">
            <w:pPr>
              <w:jc w:val="right"/>
              <w:rPr>
                <w:rFonts w:ascii="Arial" w:hAnsi="Arial" w:cs="Arial"/>
              </w:rPr>
            </w:pPr>
            <w:r w:rsidRPr="00A3792B">
              <w:rPr>
                <w:rFonts w:ascii="Arial" w:hAnsi="Arial" w:cs="Arial"/>
              </w:rPr>
              <w:t>9,510.17</w:t>
            </w:r>
          </w:p>
        </w:tc>
      </w:tr>
      <w:tr w:rsidR="00A3792B" w:rsidTr="00F31C03">
        <w:tc>
          <w:tcPr>
            <w:tcW w:w="3260" w:type="dxa"/>
          </w:tcPr>
          <w:p w:rsidR="00A3792B" w:rsidRPr="00A3792B" w:rsidRDefault="00A3792B" w:rsidP="00B83727">
            <w:pPr>
              <w:rPr>
                <w:rFonts w:ascii="Arial" w:hAnsi="Arial" w:cs="Arial"/>
              </w:rPr>
            </w:pPr>
            <w:r w:rsidRPr="00A3792B">
              <w:rPr>
                <w:rFonts w:ascii="Arial" w:hAnsi="Arial" w:cs="Arial"/>
              </w:rPr>
              <w:t>Deferred income (commercial rents)</w:t>
            </w:r>
          </w:p>
        </w:tc>
        <w:tc>
          <w:tcPr>
            <w:tcW w:w="2410" w:type="dxa"/>
          </w:tcPr>
          <w:p w:rsidR="00A3792B" w:rsidRPr="00A3792B" w:rsidRDefault="00A3792B" w:rsidP="00F31C03">
            <w:pPr>
              <w:jc w:val="right"/>
              <w:rPr>
                <w:rFonts w:ascii="Arial" w:hAnsi="Arial" w:cs="Arial"/>
              </w:rPr>
            </w:pPr>
            <w:r w:rsidRPr="00A3792B">
              <w:rPr>
                <w:rFonts w:ascii="Arial" w:hAnsi="Arial" w:cs="Arial"/>
              </w:rPr>
              <w:t>17,845</w:t>
            </w:r>
            <w:r w:rsidR="00F31C03">
              <w:rPr>
                <w:rFonts w:ascii="Arial" w:hAnsi="Arial" w:cs="Arial"/>
              </w:rPr>
              <w:t>.00</w:t>
            </w:r>
          </w:p>
        </w:tc>
        <w:tc>
          <w:tcPr>
            <w:tcW w:w="3544" w:type="dxa"/>
          </w:tcPr>
          <w:p w:rsidR="00A3792B" w:rsidRPr="00A3792B" w:rsidRDefault="00A3792B" w:rsidP="00F31C03">
            <w:pPr>
              <w:jc w:val="right"/>
              <w:rPr>
                <w:rFonts w:ascii="Arial" w:hAnsi="Arial" w:cs="Arial"/>
              </w:rPr>
            </w:pPr>
            <w:r w:rsidRPr="00A3792B">
              <w:rPr>
                <w:rFonts w:ascii="Arial" w:hAnsi="Arial" w:cs="Arial"/>
              </w:rPr>
              <w:t>15,577</w:t>
            </w:r>
            <w:r w:rsidR="00F31C03">
              <w:rPr>
                <w:rFonts w:ascii="Arial" w:hAnsi="Arial" w:cs="Arial"/>
              </w:rPr>
              <w:t>.00</w:t>
            </w:r>
          </w:p>
        </w:tc>
      </w:tr>
      <w:tr w:rsidR="001F5793" w:rsidTr="00F31C03">
        <w:tc>
          <w:tcPr>
            <w:tcW w:w="3260" w:type="dxa"/>
          </w:tcPr>
          <w:p w:rsidR="001F5793" w:rsidRPr="003F2DA2" w:rsidRDefault="001F5793" w:rsidP="00B83727">
            <w:pPr>
              <w:rPr>
                <w:rFonts w:ascii="Arial" w:hAnsi="Arial" w:cs="Arial"/>
                <w:b/>
              </w:rPr>
            </w:pPr>
            <w:r w:rsidRPr="003F2DA2">
              <w:rPr>
                <w:rFonts w:ascii="Arial" w:hAnsi="Arial" w:cs="Arial"/>
                <w:b/>
              </w:rPr>
              <w:t>TOTAL</w:t>
            </w:r>
          </w:p>
        </w:tc>
        <w:tc>
          <w:tcPr>
            <w:tcW w:w="2410" w:type="dxa"/>
          </w:tcPr>
          <w:p w:rsidR="001F5793" w:rsidRPr="00A3792B" w:rsidRDefault="00A3792B" w:rsidP="00F31C03">
            <w:pPr>
              <w:jc w:val="right"/>
              <w:rPr>
                <w:rFonts w:ascii="Arial" w:hAnsi="Arial" w:cs="Arial"/>
              </w:rPr>
            </w:pPr>
            <w:r w:rsidRPr="00A3792B">
              <w:rPr>
                <w:rFonts w:ascii="Arial" w:hAnsi="Arial" w:cs="Arial"/>
              </w:rPr>
              <w:t>46,479.25</w:t>
            </w:r>
          </w:p>
        </w:tc>
        <w:tc>
          <w:tcPr>
            <w:tcW w:w="3544" w:type="dxa"/>
          </w:tcPr>
          <w:p w:rsidR="001F5793" w:rsidRPr="00A3792B" w:rsidRDefault="00A3792B" w:rsidP="00F31C03">
            <w:pPr>
              <w:jc w:val="right"/>
              <w:rPr>
                <w:rFonts w:ascii="Arial" w:hAnsi="Arial" w:cs="Arial"/>
              </w:rPr>
            </w:pPr>
            <w:r w:rsidRPr="00A3792B">
              <w:rPr>
                <w:rFonts w:ascii="Arial" w:hAnsi="Arial" w:cs="Arial"/>
              </w:rPr>
              <w:t>64,495.92</w:t>
            </w:r>
          </w:p>
        </w:tc>
      </w:tr>
    </w:tbl>
    <w:p w:rsidR="00813CF3" w:rsidRDefault="00813CF3" w:rsidP="00813CF3">
      <w:pPr>
        <w:ind w:left="720"/>
        <w:rPr>
          <w:rFonts w:ascii="Arial" w:hAnsi="Arial" w:cs="Arial"/>
        </w:rPr>
      </w:pPr>
    </w:p>
    <w:p w:rsidR="001F5793" w:rsidRDefault="001F5793" w:rsidP="00813CF3">
      <w:pPr>
        <w:ind w:left="720"/>
        <w:rPr>
          <w:rFonts w:ascii="Arial" w:hAnsi="Arial" w:cs="Arial"/>
        </w:rPr>
      </w:pPr>
      <w:r>
        <w:rPr>
          <w:rFonts w:ascii="Arial" w:hAnsi="Arial" w:cs="Arial"/>
        </w:rPr>
        <w:t>*PAYE and pension scheme (LGPS) contributions relating to the March payroll were due for payment in April.</w:t>
      </w:r>
    </w:p>
    <w:p w:rsidR="001F5793" w:rsidRDefault="001F5793" w:rsidP="001F5793">
      <w:pPr>
        <w:rPr>
          <w:rFonts w:ascii="Arial" w:hAnsi="Arial" w:cs="Arial"/>
        </w:rPr>
      </w:pPr>
    </w:p>
    <w:p w:rsidR="001F5793" w:rsidRPr="001F5793" w:rsidRDefault="001F5793" w:rsidP="001F5793">
      <w:pPr>
        <w:ind w:left="720" w:hanging="720"/>
        <w:rPr>
          <w:rFonts w:ascii="Arial" w:hAnsi="Arial" w:cs="Arial"/>
          <w:b/>
        </w:rPr>
      </w:pPr>
      <w:r w:rsidRPr="001F5793">
        <w:rPr>
          <w:rFonts w:ascii="Arial" w:hAnsi="Arial" w:cs="Arial"/>
          <w:b/>
        </w:rPr>
        <w:t>5.</w:t>
      </w:r>
      <w:r w:rsidRPr="001F5793">
        <w:rPr>
          <w:rFonts w:ascii="Arial" w:hAnsi="Arial" w:cs="Arial"/>
          <w:b/>
        </w:rPr>
        <w:tab/>
      </w:r>
      <w:r w:rsidRPr="001F5793">
        <w:rPr>
          <w:rFonts w:ascii="Arial" w:hAnsi="Arial" w:cs="Arial"/>
          <w:b/>
          <w:u w:val="single"/>
        </w:rPr>
        <w:t xml:space="preserve">CONCLUSION </w:t>
      </w:r>
    </w:p>
    <w:p w:rsidR="001F5793" w:rsidRDefault="001F5793" w:rsidP="001F5793">
      <w:pPr>
        <w:ind w:left="720" w:hanging="720"/>
        <w:rPr>
          <w:rFonts w:ascii="Arial" w:hAnsi="Arial" w:cs="Arial"/>
        </w:rPr>
      </w:pPr>
    </w:p>
    <w:p w:rsidR="001F5793" w:rsidRDefault="00F74F17" w:rsidP="001F5793">
      <w:pPr>
        <w:ind w:left="720"/>
        <w:rPr>
          <w:rFonts w:ascii="Arial" w:hAnsi="Arial" w:cs="Arial"/>
        </w:rPr>
      </w:pPr>
      <w:r>
        <w:rPr>
          <w:rFonts w:ascii="Arial" w:hAnsi="Arial" w:cs="Arial"/>
        </w:rPr>
        <w:t>The Council</w:t>
      </w:r>
      <w:r w:rsidR="00F31C03">
        <w:rPr>
          <w:rFonts w:ascii="Arial" w:hAnsi="Arial" w:cs="Arial"/>
        </w:rPr>
        <w:t xml:space="preserve"> budget for 2017/18 was </w:t>
      </w:r>
      <w:r w:rsidR="00F31C03" w:rsidRPr="00246251">
        <w:rPr>
          <w:rFonts w:ascii="Arial" w:hAnsi="Arial" w:cs="Arial"/>
        </w:rPr>
        <w:t>£694,889</w:t>
      </w:r>
      <w:r w:rsidRPr="00246251">
        <w:rPr>
          <w:rFonts w:ascii="Arial" w:hAnsi="Arial" w:cs="Arial"/>
        </w:rPr>
        <w:t xml:space="preserve"> and the total expenditure amounted to £729,657 however this was offset by a significantly higher income than anticipated (£6</w:t>
      </w:r>
      <w:r w:rsidR="00F31C03" w:rsidRPr="00246251">
        <w:rPr>
          <w:rFonts w:ascii="Arial" w:hAnsi="Arial" w:cs="Arial"/>
        </w:rPr>
        <w:t>31,490</w:t>
      </w:r>
      <w:r w:rsidRPr="00246251">
        <w:rPr>
          <w:rFonts w:ascii="Arial" w:hAnsi="Arial" w:cs="Arial"/>
        </w:rPr>
        <w:t xml:space="preserve"> budget versus an actual of £672,113). This means the Council </w:t>
      </w:r>
      <w:r w:rsidR="001F5793" w:rsidRPr="00246251">
        <w:rPr>
          <w:rFonts w:ascii="Arial" w:hAnsi="Arial" w:cs="Arial"/>
        </w:rPr>
        <w:t>finished the year with a net expenditure of £</w:t>
      </w:r>
      <w:r w:rsidRPr="00246251">
        <w:rPr>
          <w:rFonts w:ascii="Arial" w:hAnsi="Arial" w:cs="Arial"/>
        </w:rPr>
        <w:t>57,545</w:t>
      </w:r>
      <w:r w:rsidR="001F5793" w:rsidRPr="00246251">
        <w:rPr>
          <w:rFonts w:ascii="Arial" w:hAnsi="Arial" w:cs="Arial"/>
        </w:rPr>
        <w:t xml:space="preserve"> compared to a budgeted expenditure of £</w:t>
      </w:r>
      <w:r w:rsidRPr="00246251">
        <w:rPr>
          <w:rFonts w:ascii="Arial" w:hAnsi="Arial" w:cs="Arial"/>
        </w:rPr>
        <w:t>63,399</w:t>
      </w:r>
      <w:r w:rsidR="001F5793" w:rsidRPr="00246251">
        <w:rPr>
          <w:rFonts w:ascii="Arial" w:hAnsi="Arial" w:cs="Arial"/>
        </w:rPr>
        <w:t xml:space="preserve"> representing a favourable </w:t>
      </w:r>
      <w:r w:rsidR="00C55C5B" w:rsidRPr="00246251">
        <w:rPr>
          <w:rFonts w:ascii="Arial" w:hAnsi="Arial" w:cs="Arial"/>
        </w:rPr>
        <w:t>variance</w:t>
      </w:r>
      <w:r w:rsidR="001F5793" w:rsidRPr="00246251">
        <w:rPr>
          <w:rFonts w:ascii="Arial" w:hAnsi="Arial" w:cs="Arial"/>
        </w:rPr>
        <w:t xml:space="preserve"> of £</w:t>
      </w:r>
      <w:r w:rsidR="00C76EE3" w:rsidRPr="00246251">
        <w:rPr>
          <w:rFonts w:ascii="Arial" w:hAnsi="Arial" w:cs="Arial"/>
        </w:rPr>
        <w:t>5,8</w:t>
      </w:r>
      <w:r w:rsidR="00222004" w:rsidRPr="00246251">
        <w:rPr>
          <w:rFonts w:ascii="Arial" w:hAnsi="Arial" w:cs="Arial"/>
        </w:rPr>
        <w:t>5</w:t>
      </w:r>
      <w:r w:rsidR="00C76EE3" w:rsidRPr="00246251">
        <w:rPr>
          <w:rFonts w:ascii="Arial" w:hAnsi="Arial" w:cs="Arial"/>
        </w:rPr>
        <w:t>5</w:t>
      </w:r>
      <w:r w:rsidR="001F5793" w:rsidRPr="00F74F17">
        <w:rPr>
          <w:rFonts w:ascii="Arial" w:hAnsi="Arial" w:cs="Arial"/>
        </w:rPr>
        <w:t>.</w:t>
      </w:r>
      <w:r w:rsidR="001F5793">
        <w:rPr>
          <w:rFonts w:ascii="Arial" w:hAnsi="Arial" w:cs="Arial"/>
        </w:rPr>
        <w:t xml:space="preserve"> Key variances included in the Annual Return (those over 15%) are shown in the table below</w:t>
      </w:r>
      <w:r>
        <w:rPr>
          <w:rFonts w:ascii="Arial" w:hAnsi="Arial" w:cs="Arial"/>
        </w:rPr>
        <w:t xml:space="preserve"> and detailed budget spreadsheets are attached as Appendix B.</w:t>
      </w:r>
    </w:p>
    <w:p w:rsidR="001F5793" w:rsidRDefault="001F5793" w:rsidP="001F5793">
      <w:pPr>
        <w:overflowPunct w:val="0"/>
        <w:autoSpaceDE w:val="0"/>
        <w:autoSpaceDN w:val="0"/>
        <w:adjustRightInd w:val="0"/>
        <w:textAlignment w:val="baseline"/>
        <w:rPr>
          <w:rFonts w:cs="Arial"/>
          <w:noProof/>
          <w:sz w:val="20"/>
          <w:szCs w:val="20"/>
        </w:rPr>
      </w:pPr>
      <w:r>
        <w:rPr>
          <w:rFonts w:ascii="Arial" w:hAnsi="Arial" w:cs="Arial"/>
        </w:rPr>
        <w:tab/>
      </w:r>
    </w:p>
    <w:p w:rsidR="001F5793" w:rsidRDefault="001F5793" w:rsidP="001F5793">
      <w:pPr>
        <w:overflowPunct w:val="0"/>
        <w:autoSpaceDE w:val="0"/>
        <w:autoSpaceDN w:val="0"/>
        <w:adjustRightInd w:val="0"/>
        <w:ind w:left="360"/>
        <w:textAlignment w:val="baseline"/>
        <w:rPr>
          <w:rFonts w:cs="Arial"/>
          <w:noProof/>
          <w:sz w:val="18"/>
          <w:szCs w:val="1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0"/>
        <w:gridCol w:w="1127"/>
        <w:gridCol w:w="1133"/>
        <w:gridCol w:w="1165"/>
        <w:gridCol w:w="1276"/>
        <w:gridCol w:w="3254"/>
      </w:tblGrid>
      <w:tr w:rsidR="001F5793" w:rsidRPr="001F5793" w:rsidTr="001F5793">
        <w:trPr>
          <w:trHeight w:val="527"/>
        </w:trPr>
        <w:tc>
          <w:tcPr>
            <w:tcW w:w="1390" w:type="dxa"/>
            <w:tcBorders>
              <w:top w:val="single" w:sz="4" w:space="0" w:color="auto"/>
              <w:left w:val="single" w:sz="4" w:space="0" w:color="auto"/>
              <w:bottom w:val="single" w:sz="4" w:space="0" w:color="auto"/>
              <w:right w:val="single" w:sz="4" w:space="0" w:color="auto"/>
            </w:tcBorders>
            <w:hideMark/>
          </w:tcPr>
          <w:p w:rsidR="001F5793" w:rsidRPr="001F5793" w:rsidRDefault="001F5793">
            <w:pPr>
              <w:overflowPunct w:val="0"/>
              <w:autoSpaceDE w:val="0"/>
              <w:autoSpaceDN w:val="0"/>
              <w:adjustRightInd w:val="0"/>
              <w:textAlignment w:val="baseline"/>
              <w:rPr>
                <w:rFonts w:ascii="Arial" w:hAnsi="Arial" w:cs="Arial"/>
                <w:b/>
                <w:noProof/>
              </w:rPr>
            </w:pPr>
          </w:p>
        </w:tc>
        <w:tc>
          <w:tcPr>
            <w:tcW w:w="1127" w:type="dxa"/>
            <w:tcBorders>
              <w:top w:val="single" w:sz="4" w:space="0" w:color="auto"/>
              <w:left w:val="single" w:sz="4" w:space="0" w:color="auto"/>
              <w:bottom w:val="single" w:sz="4" w:space="0" w:color="auto"/>
              <w:right w:val="single" w:sz="4" w:space="0" w:color="auto"/>
            </w:tcBorders>
            <w:hideMark/>
          </w:tcPr>
          <w:p w:rsidR="001F5793" w:rsidRPr="001F5793" w:rsidRDefault="001F5793">
            <w:pPr>
              <w:overflowPunct w:val="0"/>
              <w:autoSpaceDE w:val="0"/>
              <w:autoSpaceDN w:val="0"/>
              <w:adjustRightInd w:val="0"/>
              <w:jc w:val="center"/>
              <w:textAlignment w:val="baseline"/>
              <w:rPr>
                <w:rFonts w:ascii="Arial" w:hAnsi="Arial" w:cs="Arial"/>
                <w:b/>
                <w:noProof/>
              </w:rPr>
            </w:pPr>
            <w:r w:rsidRPr="001F5793">
              <w:rPr>
                <w:rFonts w:ascii="Arial" w:hAnsi="Arial" w:cs="Arial"/>
                <w:b/>
                <w:noProof/>
              </w:rPr>
              <w:t>2016/17</w:t>
            </w:r>
          </w:p>
          <w:p w:rsidR="001F5793" w:rsidRPr="001F5793" w:rsidRDefault="001F5793">
            <w:pPr>
              <w:overflowPunct w:val="0"/>
              <w:autoSpaceDE w:val="0"/>
              <w:autoSpaceDN w:val="0"/>
              <w:adjustRightInd w:val="0"/>
              <w:jc w:val="center"/>
              <w:textAlignment w:val="baseline"/>
              <w:rPr>
                <w:rFonts w:ascii="Arial" w:hAnsi="Arial" w:cs="Arial"/>
                <w:b/>
                <w:noProof/>
              </w:rPr>
            </w:pPr>
            <w:r w:rsidRPr="001F5793">
              <w:rPr>
                <w:rFonts w:ascii="Arial" w:hAnsi="Arial" w:cs="Arial"/>
                <w:b/>
                <w:noProof/>
              </w:rPr>
              <w:t>£</w:t>
            </w:r>
          </w:p>
        </w:tc>
        <w:tc>
          <w:tcPr>
            <w:tcW w:w="1133" w:type="dxa"/>
            <w:tcBorders>
              <w:top w:val="single" w:sz="4" w:space="0" w:color="auto"/>
              <w:left w:val="single" w:sz="4" w:space="0" w:color="auto"/>
              <w:bottom w:val="single" w:sz="4" w:space="0" w:color="auto"/>
              <w:right w:val="single" w:sz="4" w:space="0" w:color="auto"/>
            </w:tcBorders>
            <w:hideMark/>
          </w:tcPr>
          <w:p w:rsidR="001F5793" w:rsidRPr="001F5793" w:rsidRDefault="001F5793">
            <w:pPr>
              <w:overflowPunct w:val="0"/>
              <w:autoSpaceDE w:val="0"/>
              <w:autoSpaceDN w:val="0"/>
              <w:adjustRightInd w:val="0"/>
              <w:jc w:val="center"/>
              <w:textAlignment w:val="baseline"/>
              <w:rPr>
                <w:rFonts w:ascii="Arial" w:hAnsi="Arial" w:cs="Arial"/>
                <w:b/>
                <w:noProof/>
              </w:rPr>
            </w:pPr>
            <w:r w:rsidRPr="001F5793">
              <w:rPr>
                <w:rFonts w:ascii="Arial" w:hAnsi="Arial" w:cs="Arial"/>
                <w:b/>
                <w:noProof/>
              </w:rPr>
              <w:t>2017/18</w:t>
            </w:r>
          </w:p>
          <w:p w:rsidR="001F5793" w:rsidRPr="001F5793" w:rsidRDefault="001F5793">
            <w:pPr>
              <w:overflowPunct w:val="0"/>
              <w:autoSpaceDE w:val="0"/>
              <w:autoSpaceDN w:val="0"/>
              <w:adjustRightInd w:val="0"/>
              <w:jc w:val="center"/>
              <w:textAlignment w:val="baseline"/>
              <w:rPr>
                <w:rFonts w:ascii="Arial" w:hAnsi="Arial" w:cs="Arial"/>
                <w:b/>
                <w:noProof/>
              </w:rPr>
            </w:pPr>
            <w:r w:rsidRPr="001F5793">
              <w:rPr>
                <w:rFonts w:ascii="Arial" w:hAnsi="Arial" w:cs="Arial"/>
                <w:b/>
                <w:noProof/>
              </w:rPr>
              <w:t>£</w:t>
            </w:r>
          </w:p>
        </w:tc>
        <w:tc>
          <w:tcPr>
            <w:tcW w:w="1165" w:type="dxa"/>
            <w:tcBorders>
              <w:top w:val="single" w:sz="4" w:space="0" w:color="auto"/>
              <w:left w:val="single" w:sz="4" w:space="0" w:color="auto"/>
              <w:bottom w:val="single" w:sz="4" w:space="0" w:color="auto"/>
              <w:right w:val="single" w:sz="4" w:space="0" w:color="auto"/>
            </w:tcBorders>
            <w:hideMark/>
          </w:tcPr>
          <w:p w:rsidR="001F5793" w:rsidRPr="001F5793" w:rsidRDefault="001F5793">
            <w:pPr>
              <w:overflowPunct w:val="0"/>
              <w:autoSpaceDE w:val="0"/>
              <w:autoSpaceDN w:val="0"/>
              <w:adjustRightInd w:val="0"/>
              <w:jc w:val="center"/>
              <w:textAlignment w:val="baseline"/>
              <w:rPr>
                <w:rFonts w:ascii="Arial" w:hAnsi="Arial" w:cs="Arial"/>
                <w:b/>
                <w:noProof/>
              </w:rPr>
            </w:pPr>
            <w:r w:rsidRPr="001F5793">
              <w:rPr>
                <w:rFonts w:ascii="Arial" w:hAnsi="Arial" w:cs="Arial"/>
                <w:b/>
                <w:noProof/>
              </w:rPr>
              <w:t>Variance</w:t>
            </w:r>
          </w:p>
          <w:p w:rsidR="001F5793" w:rsidRPr="001F5793" w:rsidRDefault="001F5793">
            <w:pPr>
              <w:overflowPunct w:val="0"/>
              <w:autoSpaceDE w:val="0"/>
              <w:autoSpaceDN w:val="0"/>
              <w:adjustRightInd w:val="0"/>
              <w:jc w:val="center"/>
              <w:textAlignment w:val="baseline"/>
              <w:rPr>
                <w:rFonts w:ascii="Arial" w:hAnsi="Arial" w:cs="Arial"/>
                <w:b/>
                <w:noProof/>
              </w:rPr>
            </w:pPr>
            <w:r w:rsidRPr="001F5793">
              <w:rPr>
                <w:rFonts w:ascii="Arial" w:hAnsi="Arial" w:cs="Arial"/>
                <w:b/>
                <w:noProof/>
              </w:rPr>
              <w:t>£</w:t>
            </w:r>
          </w:p>
        </w:tc>
        <w:tc>
          <w:tcPr>
            <w:tcW w:w="1276" w:type="dxa"/>
            <w:tcBorders>
              <w:top w:val="single" w:sz="4" w:space="0" w:color="auto"/>
              <w:left w:val="single" w:sz="4" w:space="0" w:color="auto"/>
              <w:bottom w:val="single" w:sz="4" w:space="0" w:color="auto"/>
              <w:right w:val="single" w:sz="4" w:space="0" w:color="auto"/>
            </w:tcBorders>
            <w:hideMark/>
          </w:tcPr>
          <w:p w:rsidR="001F5793" w:rsidRPr="001F5793" w:rsidRDefault="001F5793">
            <w:pPr>
              <w:overflowPunct w:val="0"/>
              <w:autoSpaceDE w:val="0"/>
              <w:autoSpaceDN w:val="0"/>
              <w:adjustRightInd w:val="0"/>
              <w:jc w:val="center"/>
              <w:textAlignment w:val="baseline"/>
              <w:rPr>
                <w:rFonts w:ascii="Arial" w:hAnsi="Arial" w:cs="Arial"/>
                <w:b/>
                <w:noProof/>
              </w:rPr>
            </w:pPr>
            <w:r w:rsidRPr="001F5793">
              <w:rPr>
                <w:rFonts w:ascii="Arial" w:hAnsi="Arial" w:cs="Arial"/>
                <w:b/>
                <w:noProof/>
              </w:rPr>
              <w:t>Variance</w:t>
            </w:r>
          </w:p>
          <w:p w:rsidR="001F5793" w:rsidRPr="001F5793" w:rsidRDefault="001F5793">
            <w:pPr>
              <w:overflowPunct w:val="0"/>
              <w:autoSpaceDE w:val="0"/>
              <w:autoSpaceDN w:val="0"/>
              <w:adjustRightInd w:val="0"/>
              <w:jc w:val="center"/>
              <w:textAlignment w:val="baseline"/>
              <w:rPr>
                <w:rFonts w:ascii="Arial" w:hAnsi="Arial" w:cs="Arial"/>
                <w:b/>
                <w:noProof/>
              </w:rPr>
            </w:pPr>
            <w:r w:rsidRPr="001F5793">
              <w:rPr>
                <w:rFonts w:ascii="Arial" w:hAnsi="Arial" w:cs="Arial"/>
                <w:b/>
                <w:noProof/>
              </w:rPr>
              <w:t>%</w:t>
            </w:r>
          </w:p>
        </w:tc>
        <w:tc>
          <w:tcPr>
            <w:tcW w:w="3254" w:type="dxa"/>
            <w:tcBorders>
              <w:top w:val="single" w:sz="4" w:space="0" w:color="auto"/>
              <w:left w:val="single" w:sz="4" w:space="0" w:color="auto"/>
              <w:bottom w:val="single" w:sz="4" w:space="0" w:color="auto"/>
              <w:right w:val="single" w:sz="4" w:space="0" w:color="auto"/>
            </w:tcBorders>
            <w:hideMark/>
          </w:tcPr>
          <w:p w:rsidR="001F5793" w:rsidRPr="001F5793" w:rsidRDefault="001F5793">
            <w:pPr>
              <w:overflowPunct w:val="0"/>
              <w:autoSpaceDE w:val="0"/>
              <w:autoSpaceDN w:val="0"/>
              <w:adjustRightInd w:val="0"/>
              <w:jc w:val="center"/>
              <w:textAlignment w:val="baseline"/>
              <w:rPr>
                <w:rFonts w:ascii="Arial" w:hAnsi="Arial" w:cs="Arial"/>
                <w:b/>
                <w:noProof/>
              </w:rPr>
            </w:pPr>
            <w:r w:rsidRPr="001F5793">
              <w:rPr>
                <w:rFonts w:ascii="Arial" w:hAnsi="Arial" w:cs="Arial"/>
                <w:b/>
                <w:noProof/>
              </w:rPr>
              <w:t>Detailed explanation of variance (with amounts £)</w:t>
            </w:r>
          </w:p>
        </w:tc>
      </w:tr>
      <w:tr w:rsidR="001F5793" w:rsidRPr="001F5793" w:rsidTr="001F5793">
        <w:trPr>
          <w:trHeight w:val="983"/>
        </w:trPr>
        <w:tc>
          <w:tcPr>
            <w:tcW w:w="1390" w:type="dxa"/>
            <w:tcBorders>
              <w:top w:val="single" w:sz="4" w:space="0" w:color="auto"/>
              <w:left w:val="single" w:sz="4" w:space="0" w:color="auto"/>
              <w:bottom w:val="single" w:sz="4" w:space="0" w:color="auto"/>
              <w:right w:val="single" w:sz="4" w:space="0" w:color="auto"/>
            </w:tcBorders>
          </w:tcPr>
          <w:p w:rsidR="001F5793" w:rsidRPr="001F5793" w:rsidRDefault="001F5793">
            <w:pPr>
              <w:overflowPunct w:val="0"/>
              <w:autoSpaceDE w:val="0"/>
              <w:autoSpaceDN w:val="0"/>
              <w:adjustRightInd w:val="0"/>
              <w:textAlignment w:val="baseline"/>
              <w:rPr>
                <w:rFonts w:ascii="Arial" w:hAnsi="Arial" w:cs="Arial"/>
                <w:i/>
                <w:noProof/>
              </w:rPr>
            </w:pPr>
            <w:r w:rsidRPr="001F5793">
              <w:rPr>
                <w:rFonts w:ascii="Arial" w:hAnsi="Arial" w:cs="Arial"/>
                <w:i/>
                <w:noProof/>
              </w:rPr>
              <w:t>Total other receipts</w:t>
            </w:r>
          </w:p>
          <w:p w:rsidR="001F5793" w:rsidRPr="001F5793" w:rsidRDefault="001F5793">
            <w:pPr>
              <w:overflowPunct w:val="0"/>
              <w:autoSpaceDE w:val="0"/>
              <w:autoSpaceDN w:val="0"/>
              <w:adjustRightInd w:val="0"/>
              <w:textAlignment w:val="baseline"/>
              <w:rPr>
                <w:rFonts w:ascii="Arial" w:hAnsi="Arial" w:cs="Arial"/>
                <w:i/>
                <w:noProof/>
              </w:rPr>
            </w:pPr>
          </w:p>
          <w:p w:rsidR="001F5793" w:rsidRPr="001F5793" w:rsidRDefault="001F5793">
            <w:pPr>
              <w:overflowPunct w:val="0"/>
              <w:autoSpaceDE w:val="0"/>
              <w:autoSpaceDN w:val="0"/>
              <w:adjustRightInd w:val="0"/>
              <w:textAlignment w:val="baseline"/>
              <w:rPr>
                <w:rFonts w:ascii="Arial" w:hAnsi="Arial" w:cs="Arial"/>
                <w:i/>
                <w:noProof/>
              </w:rPr>
            </w:pPr>
          </w:p>
          <w:p w:rsidR="001F5793" w:rsidRPr="001F5793" w:rsidRDefault="001F5793">
            <w:pPr>
              <w:overflowPunct w:val="0"/>
              <w:autoSpaceDE w:val="0"/>
              <w:autoSpaceDN w:val="0"/>
              <w:adjustRightInd w:val="0"/>
              <w:textAlignment w:val="baseline"/>
              <w:rPr>
                <w:rFonts w:ascii="Arial" w:hAnsi="Arial" w:cs="Arial"/>
                <w:noProof/>
              </w:rPr>
            </w:pPr>
          </w:p>
        </w:tc>
        <w:tc>
          <w:tcPr>
            <w:tcW w:w="1127" w:type="dxa"/>
            <w:tcBorders>
              <w:top w:val="single" w:sz="4" w:space="0" w:color="auto"/>
              <w:left w:val="single" w:sz="4" w:space="0" w:color="auto"/>
              <w:bottom w:val="single" w:sz="4" w:space="0" w:color="auto"/>
              <w:right w:val="single" w:sz="4" w:space="0" w:color="auto"/>
            </w:tcBorders>
          </w:tcPr>
          <w:p w:rsidR="001F5793" w:rsidRPr="001F5793" w:rsidRDefault="001F5793">
            <w:pPr>
              <w:overflowPunct w:val="0"/>
              <w:autoSpaceDE w:val="0"/>
              <w:autoSpaceDN w:val="0"/>
              <w:adjustRightInd w:val="0"/>
              <w:textAlignment w:val="baseline"/>
              <w:rPr>
                <w:rFonts w:ascii="Arial" w:hAnsi="Arial" w:cs="Arial"/>
                <w:noProof/>
              </w:rPr>
            </w:pPr>
            <w:r w:rsidRPr="001F5793">
              <w:rPr>
                <w:rFonts w:ascii="Arial" w:hAnsi="Arial" w:cs="Arial"/>
                <w:noProof/>
              </w:rPr>
              <w:t>175,967</w:t>
            </w:r>
          </w:p>
        </w:tc>
        <w:tc>
          <w:tcPr>
            <w:tcW w:w="1133" w:type="dxa"/>
            <w:tcBorders>
              <w:top w:val="single" w:sz="4" w:space="0" w:color="auto"/>
              <w:left w:val="single" w:sz="4" w:space="0" w:color="auto"/>
              <w:bottom w:val="single" w:sz="4" w:space="0" w:color="auto"/>
              <w:right w:val="single" w:sz="4" w:space="0" w:color="auto"/>
            </w:tcBorders>
          </w:tcPr>
          <w:p w:rsidR="001F5793" w:rsidRPr="001F5793" w:rsidRDefault="001F5793">
            <w:pPr>
              <w:overflowPunct w:val="0"/>
              <w:autoSpaceDE w:val="0"/>
              <w:autoSpaceDN w:val="0"/>
              <w:adjustRightInd w:val="0"/>
              <w:textAlignment w:val="baseline"/>
              <w:rPr>
                <w:rFonts w:ascii="Arial" w:hAnsi="Arial" w:cs="Arial"/>
                <w:noProof/>
              </w:rPr>
            </w:pPr>
            <w:r w:rsidRPr="001F5793">
              <w:rPr>
                <w:rFonts w:ascii="Arial" w:hAnsi="Arial" w:cs="Arial"/>
                <w:noProof/>
              </w:rPr>
              <w:t>220,394</w:t>
            </w:r>
          </w:p>
        </w:tc>
        <w:tc>
          <w:tcPr>
            <w:tcW w:w="1165" w:type="dxa"/>
            <w:tcBorders>
              <w:top w:val="single" w:sz="4" w:space="0" w:color="auto"/>
              <w:left w:val="single" w:sz="4" w:space="0" w:color="auto"/>
              <w:bottom w:val="single" w:sz="4" w:space="0" w:color="auto"/>
              <w:right w:val="single" w:sz="4" w:space="0" w:color="auto"/>
            </w:tcBorders>
          </w:tcPr>
          <w:p w:rsidR="001F5793" w:rsidRPr="001F5793" w:rsidRDefault="001F5793">
            <w:pPr>
              <w:overflowPunct w:val="0"/>
              <w:autoSpaceDE w:val="0"/>
              <w:autoSpaceDN w:val="0"/>
              <w:adjustRightInd w:val="0"/>
              <w:textAlignment w:val="baseline"/>
              <w:rPr>
                <w:rFonts w:ascii="Arial" w:hAnsi="Arial" w:cs="Arial"/>
                <w:noProof/>
              </w:rPr>
            </w:pPr>
            <w:r w:rsidRPr="001F5793">
              <w:rPr>
                <w:rFonts w:ascii="Arial" w:hAnsi="Arial" w:cs="Arial"/>
                <w:noProof/>
              </w:rPr>
              <w:t>44,427</w:t>
            </w:r>
          </w:p>
        </w:tc>
        <w:tc>
          <w:tcPr>
            <w:tcW w:w="1276" w:type="dxa"/>
            <w:tcBorders>
              <w:top w:val="single" w:sz="4" w:space="0" w:color="auto"/>
              <w:left w:val="single" w:sz="4" w:space="0" w:color="auto"/>
              <w:bottom w:val="single" w:sz="4" w:space="0" w:color="auto"/>
              <w:right w:val="single" w:sz="4" w:space="0" w:color="auto"/>
            </w:tcBorders>
          </w:tcPr>
          <w:p w:rsidR="001F5793" w:rsidRPr="001F5793" w:rsidRDefault="001F5793">
            <w:pPr>
              <w:overflowPunct w:val="0"/>
              <w:autoSpaceDE w:val="0"/>
              <w:autoSpaceDN w:val="0"/>
              <w:adjustRightInd w:val="0"/>
              <w:spacing w:line="360" w:lineRule="auto"/>
              <w:textAlignment w:val="baseline"/>
              <w:rPr>
                <w:rFonts w:ascii="Arial" w:hAnsi="Arial" w:cs="Arial"/>
                <w:noProof/>
              </w:rPr>
            </w:pPr>
            <w:r w:rsidRPr="001F5793">
              <w:rPr>
                <w:rFonts w:ascii="Arial" w:hAnsi="Arial" w:cs="Arial"/>
                <w:noProof/>
              </w:rPr>
              <w:t>25%</w:t>
            </w:r>
          </w:p>
        </w:tc>
        <w:tc>
          <w:tcPr>
            <w:tcW w:w="3254" w:type="dxa"/>
            <w:tcBorders>
              <w:top w:val="single" w:sz="4" w:space="0" w:color="auto"/>
              <w:left w:val="single" w:sz="4" w:space="0" w:color="auto"/>
              <w:bottom w:val="single" w:sz="4" w:space="0" w:color="auto"/>
              <w:right w:val="single" w:sz="4" w:space="0" w:color="auto"/>
            </w:tcBorders>
          </w:tcPr>
          <w:p w:rsidR="001F5793" w:rsidRPr="001F5793" w:rsidRDefault="001F5793" w:rsidP="001F5793">
            <w:pPr>
              <w:pStyle w:val="NoSpacing"/>
              <w:spacing w:line="256" w:lineRule="auto"/>
              <w:rPr>
                <w:rFonts w:cs="Arial"/>
                <w:noProof/>
                <w:sz w:val="24"/>
                <w:szCs w:val="24"/>
              </w:rPr>
            </w:pPr>
            <w:r w:rsidRPr="001F5793">
              <w:rPr>
                <w:rFonts w:cs="Arial"/>
                <w:noProof/>
                <w:sz w:val="24"/>
                <w:szCs w:val="24"/>
              </w:rPr>
              <w:t>The authority received additional room hire income in 2017/18 . A child care provider took additional rooms for part of 16/17 and then for the full year of  17/18.  Income from the child care provider 16/17 =  £18,787,  17/18 = £59,584.  Variance = £40,797</w:t>
            </w:r>
          </w:p>
        </w:tc>
      </w:tr>
      <w:tr w:rsidR="001F5793" w:rsidRPr="001F5793" w:rsidTr="001F5793">
        <w:trPr>
          <w:trHeight w:val="943"/>
        </w:trPr>
        <w:tc>
          <w:tcPr>
            <w:tcW w:w="1390" w:type="dxa"/>
            <w:tcBorders>
              <w:top w:val="single" w:sz="4" w:space="0" w:color="auto"/>
              <w:left w:val="single" w:sz="4" w:space="0" w:color="auto"/>
              <w:bottom w:val="single" w:sz="4" w:space="0" w:color="auto"/>
              <w:right w:val="single" w:sz="4" w:space="0" w:color="auto"/>
            </w:tcBorders>
          </w:tcPr>
          <w:p w:rsidR="001F5793" w:rsidRPr="001F5793" w:rsidRDefault="001F5793">
            <w:pPr>
              <w:overflowPunct w:val="0"/>
              <w:autoSpaceDE w:val="0"/>
              <w:autoSpaceDN w:val="0"/>
              <w:adjustRightInd w:val="0"/>
              <w:textAlignment w:val="baseline"/>
              <w:rPr>
                <w:rFonts w:ascii="Arial" w:hAnsi="Arial" w:cs="Arial"/>
                <w:i/>
                <w:noProof/>
              </w:rPr>
            </w:pPr>
            <w:r w:rsidRPr="001F5793">
              <w:rPr>
                <w:rFonts w:ascii="Arial" w:hAnsi="Arial" w:cs="Arial"/>
                <w:i/>
                <w:noProof/>
              </w:rPr>
              <w:t>All other payments</w:t>
            </w:r>
          </w:p>
          <w:p w:rsidR="001F5793" w:rsidRPr="001F5793" w:rsidRDefault="001F5793">
            <w:pPr>
              <w:overflowPunct w:val="0"/>
              <w:autoSpaceDE w:val="0"/>
              <w:autoSpaceDN w:val="0"/>
              <w:adjustRightInd w:val="0"/>
              <w:textAlignment w:val="baseline"/>
              <w:rPr>
                <w:rFonts w:ascii="Arial" w:hAnsi="Arial" w:cs="Arial"/>
                <w:i/>
                <w:noProof/>
              </w:rPr>
            </w:pPr>
          </w:p>
          <w:p w:rsidR="001F5793" w:rsidRPr="001F5793" w:rsidRDefault="001F5793">
            <w:pPr>
              <w:overflowPunct w:val="0"/>
              <w:autoSpaceDE w:val="0"/>
              <w:autoSpaceDN w:val="0"/>
              <w:adjustRightInd w:val="0"/>
              <w:textAlignment w:val="baseline"/>
              <w:rPr>
                <w:rFonts w:ascii="Arial" w:hAnsi="Arial" w:cs="Arial"/>
                <w:i/>
                <w:noProof/>
              </w:rPr>
            </w:pPr>
          </w:p>
          <w:p w:rsidR="001F5793" w:rsidRPr="001F5793" w:rsidRDefault="001F5793">
            <w:pPr>
              <w:overflowPunct w:val="0"/>
              <w:autoSpaceDE w:val="0"/>
              <w:autoSpaceDN w:val="0"/>
              <w:adjustRightInd w:val="0"/>
              <w:textAlignment w:val="baseline"/>
              <w:rPr>
                <w:rFonts w:ascii="Arial" w:hAnsi="Arial" w:cs="Arial"/>
                <w:i/>
                <w:noProof/>
              </w:rPr>
            </w:pPr>
          </w:p>
        </w:tc>
        <w:tc>
          <w:tcPr>
            <w:tcW w:w="1127" w:type="dxa"/>
            <w:tcBorders>
              <w:top w:val="single" w:sz="4" w:space="0" w:color="auto"/>
              <w:left w:val="single" w:sz="4" w:space="0" w:color="auto"/>
              <w:bottom w:val="single" w:sz="4" w:space="0" w:color="auto"/>
              <w:right w:val="single" w:sz="4" w:space="0" w:color="auto"/>
            </w:tcBorders>
          </w:tcPr>
          <w:p w:rsidR="001F5793" w:rsidRPr="001F5793" w:rsidRDefault="001F5793">
            <w:pPr>
              <w:overflowPunct w:val="0"/>
              <w:autoSpaceDE w:val="0"/>
              <w:autoSpaceDN w:val="0"/>
              <w:adjustRightInd w:val="0"/>
              <w:textAlignment w:val="baseline"/>
              <w:rPr>
                <w:rFonts w:ascii="Arial" w:hAnsi="Arial" w:cs="Arial"/>
                <w:noProof/>
              </w:rPr>
            </w:pPr>
            <w:r w:rsidRPr="001F5793">
              <w:rPr>
                <w:rFonts w:ascii="Arial" w:hAnsi="Arial" w:cs="Arial"/>
                <w:noProof/>
              </w:rPr>
              <w:t>230,543</w:t>
            </w:r>
          </w:p>
          <w:p w:rsidR="001F5793" w:rsidRPr="001F5793" w:rsidRDefault="001F5793">
            <w:pPr>
              <w:overflowPunct w:val="0"/>
              <w:autoSpaceDE w:val="0"/>
              <w:autoSpaceDN w:val="0"/>
              <w:adjustRightInd w:val="0"/>
              <w:textAlignment w:val="baseline"/>
              <w:rPr>
                <w:rFonts w:ascii="Arial" w:hAnsi="Arial" w:cs="Arial"/>
                <w:noProof/>
              </w:rPr>
            </w:pPr>
          </w:p>
        </w:tc>
        <w:tc>
          <w:tcPr>
            <w:tcW w:w="1133" w:type="dxa"/>
            <w:tcBorders>
              <w:top w:val="single" w:sz="4" w:space="0" w:color="auto"/>
              <w:left w:val="single" w:sz="4" w:space="0" w:color="auto"/>
              <w:bottom w:val="single" w:sz="4" w:space="0" w:color="auto"/>
              <w:right w:val="single" w:sz="4" w:space="0" w:color="auto"/>
            </w:tcBorders>
          </w:tcPr>
          <w:p w:rsidR="001F5793" w:rsidRPr="001F5793" w:rsidRDefault="001F5793">
            <w:pPr>
              <w:overflowPunct w:val="0"/>
              <w:autoSpaceDE w:val="0"/>
              <w:autoSpaceDN w:val="0"/>
              <w:adjustRightInd w:val="0"/>
              <w:textAlignment w:val="baseline"/>
              <w:rPr>
                <w:rFonts w:ascii="Arial" w:hAnsi="Arial" w:cs="Arial"/>
                <w:noProof/>
              </w:rPr>
            </w:pPr>
            <w:r w:rsidRPr="001F5793">
              <w:rPr>
                <w:rFonts w:ascii="Arial" w:hAnsi="Arial" w:cs="Arial"/>
                <w:noProof/>
              </w:rPr>
              <w:t>321,344</w:t>
            </w:r>
          </w:p>
        </w:tc>
        <w:tc>
          <w:tcPr>
            <w:tcW w:w="1165" w:type="dxa"/>
            <w:tcBorders>
              <w:top w:val="single" w:sz="4" w:space="0" w:color="auto"/>
              <w:left w:val="single" w:sz="4" w:space="0" w:color="auto"/>
              <w:bottom w:val="single" w:sz="4" w:space="0" w:color="auto"/>
              <w:right w:val="single" w:sz="4" w:space="0" w:color="auto"/>
            </w:tcBorders>
          </w:tcPr>
          <w:p w:rsidR="001F5793" w:rsidRPr="001F5793" w:rsidRDefault="001F5793">
            <w:pPr>
              <w:overflowPunct w:val="0"/>
              <w:autoSpaceDE w:val="0"/>
              <w:autoSpaceDN w:val="0"/>
              <w:adjustRightInd w:val="0"/>
              <w:textAlignment w:val="baseline"/>
              <w:rPr>
                <w:rFonts w:ascii="Arial" w:hAnsi="Arial" w:cs="Arial"/>
                <w:noProof/>
              </w:rPr>
            </w:pPr>
            <w:r w:rsidRPr="001F5793">
              <w:rPr>
                <w:rFonts w:ascii="Arial" w:hAnsi="Arial" w:cs="Arial"/>
                <w:noProof/>
              </w:rPr>
              <w:t>90,801</w:t>
            </w:r>
          </w:p>
        </w:tc>
        <w:tc>
          <w:tcPr>
            <w:tcW w:w="1276" w:type="dxa"/>
            <w:tcBorders>
              <w:top w:val="single" w:sz="4" w:space="0" w:color="auto"/>
              <w:left w:val="single" w:sz="4" w:space="0" w:color="auto"/>
              <w:bottom w:val="single" w:sz="4" w:space="0" w:color="auto"/>
              <w:right w:val="single" w:sz="4" w:space="0" w:color="auto"/>
            </w:tcBorders>
          </w:tcPr>
          <w:p w:rsidR="001F5793" w:rsidRPr="001F5793" w:rsidRDefault="001F5793">
            <w:pPr>
              <w:overflowPunct w:val="0"/>
              <w:autoSpaceDE w:val="0"/>
              <w:autoSpaceDN w:val="0"/>
              <w:adjustRightInd w:val="0"/>
              <w:textAlignment w:val="baseline"/>
              <w:rPr>
                <w:rFonts w:ascii="Arial" w:hAnsi="Arial" w:cs="Arial"/>
                <w:noProof/>
              </w:rPr>
            </w:pPr>
            <w:r w:rsidRPr="001F5793">
              <w:rPr>
                <w:rFonts w:ascii="Arial" w:hAnsi="Arial" w:cs="Arial"/>
                <w:noProof/>
              </w:rPr>
              <w:t>39%</w:t>
            </w:r>
          </w:p>
        </w:tc>
        <w:tc>
          <w:tcPr>
            <w:tcW w:w="3254" w:type="dxa"/>
            <w:tcBorders>
              <w:top w:val="single" w:sz="4" w:space="0" w:color="auto"/>
              <w:left w:val="single" w:sz="4" w:space="0" w:color="auto"/>
              <w:bottom w:val="single" w:sz="4" w:space="0" w:color="auto"/>
              <w:right w:val="single" w:sz="4" w:space="0" w:color="auto"/>
            </w:tcBorders>
          </w:tcPr>
          <w:p w:rsidR="001F5793" w:rsidRPr="001F5793" w:rsidRDefault="001F5793">
            <w:pPr>
              <w:overflowPunct w:val="0"/>
              <w:autoSpaceDE w:val="0"/>
              <w:autoSpaceDN w:val="0"/>
              <w:adjustRightInd w:val="0"/>
              <w:textAlignment w:val="baseline"/>
              <w:rPr>
                <w:rFonts w:ascii="Arial" w:hAnsi="Arial" w:cs="Arial"/>
                <w:noProof/>
              </w:rPr>
            </w:pPr>
            <w:r w:rsidRPr="001F5793">
              <w:rPr>
                <w:rFonts w:ascii="Arial" w:hAnsi="Arial" w:cs="Arial"/>
                <w:noProof/>
              </w:rPr>
              <w:t xml:space="preserve">A vacancy for both the Parish clerk and deputy clerk was temporarily filled by an interim parish clerk and also additional </w:t>
            </w:r>
            <w:r w:rsidRPr="001F5793">
              <w:rPr>
                <w:rFonts w:ascii="Arial" w:hAnsi="Arial" w:cs="Arial"/>
                <w:noProof/>
              </w:rPr>
              <w:lastRenderedPageBreak/>
              <w:t>accountancy services.  The locum parish clerk fees amounted to £36,619 and additional accountancy fees amounted to £32,735.</w:t>
            </w:r>
          </w:p>
          <w:p w:rsidR="001F5793" w:rsidRDefault="001F5793">
            <w:pPr>
              <w:overflowPunct w:val="0"/>
              <w:autoSpaceDE w:val="0"/>
              <w:autoSpaceDN w:val="0"/>
              <w:adjustRightInd w:val="0"/>
              <w:textAlignment w:val="baseline"/>
              <w:rPr>
                <w:rFonts w:ascii="Arial" w:hAnsi="Arial" w:cs="Arial"/>
                <w:noProof/>
              </w:rPr>
            </w:pPr>
            <w:r w:rsidRPr="001F5793">
              <w:rPr>
                <w:rFonts w:ascii="Arial" w:hAnsi="Arial" w:cs="Arial"/>
                <w:noProof/>
              </w:rPr>
              <w:t>Agency wages (caretakers) also increased during the year whilst suitable council employees were sought.  These costs increased over the previous year by £22,405.</w:t>
            </w:r>
          </w:p>
          <w:p w:rsidR="00A3792B" w:rsidRPr="001F5793" w:rsidRDefault="00A3792B">
            <w:pPr>
              <w:overflowPunct w:val="0"/>
              <w:autoSpaceDE w:val="0"/>
              <w:autoSpaceDN w:val="0"/>
              <w:adjustRightInd w:val="0"/>
              <w:textAlignment w:val="baseline"/>
              <w:rPr>
                <w:rFonts w:ascii="Arial" w:hAnsi="Arial" w:cs="Arial"/>
                <w:noProof/>
              </w:rPr>
            </w:pPr>
          </w:p>
          <w:p w:rsidR="001F5793" w:rsidRPr="001F5793" w:rsidRDefault="001F5793">
            <w:pPr>
              <w:overflowPunct w:val="0"/>
              <w:autoSpaceDE w:val="0"/>
              <w:autoSpaceDN w:val="0"/>
              <w:adjustRightInd w:val="0"/>
              <w:textAlignment w:val="baseline"/>
              <w:rPr>
                <w:rFonts w:ascii="Arial" w:hAnsi="Arial" w:cs="Arial"/>
                <w:noProof/>
              </w:rPr>
            </w:pPr>
            <w:r w:rsidRPr="001F5793">
              <w:rPr>
                <w:rFonts w:ascii="Arial" w:hAnsi="Arial" w:cs="Arial"/>
                <w:noProof/>
              </w:rPr>
              <w:t xml:space="preserve">Repairs to the car park (£24,903) were a one off cost in 2017/18.  However this was offset by savings being made in the year as CCTV was no longer paid for by the parish council saving £12,210.  In the previous year 16/17 one off drainage repair cost (£5,937) and painting costs (£8,845) were incurred. </w:t>
            </w:r>
          </w:p>
          <w:p w:rsidR="001F5793" w:rsidRPr="001F5793" w:rsidRDefault="001F5793">
            <w:pPr>
              <w:overflowPunct w:val="0"/>
              <w:autoSpaceDE w:val="0"/>
              <w:autoSpaceDN w:val="0"/>
              <w:adjustRightInd w:val="0"/>
              <w:textAlignment w:val="baseline"/>
              <w:rPr>
                <w:rFonts w:ascii="Arial" w:hAnsi="Arial" w:cs="Arial"/>
                <w:noProof/>
              </w:rPr>
            </w:pPr>
          </w:p>
        </w:tc>
      </w:tr>
    </w:tbl>
    <w:p w:rsidR="001F5793" w:rsidRPr="001F5793" w:rsidRDefault="001F5793" w:rsidP="001F5793">
      <w:pPr>
        <w:rPr>
          <w:rFonts w:ascii="Arial" w:eastAsiaTheme="minorHAnsi" w:hAnsi="Arial" w:cs="Arial"/>
          <w:lang w:eastAsia="en-US"/>
        </w:rPr>
      </w:pPr>
    </w:p>
    <w:p w:rsidR="001F5793" w:rsidRDefault="001F5793" w:rsidP="001F5793">
      <w:pPr>
        <w:ind w:left="720" w:hanging="720"/>
        <w:rPr>
          <w:rFonts w:ascii="Arial" w:hAnsi="Arial" w:cs="Arial"/>
          <w:b/>
          <w:u w:val="single"/>
        </w:rPr>
      </w:pPr>
      <w:r w:rsidRPr="001F5793">
        <w:rPr>
          <w:rFonts w:ascii="Arial" w:hAnsi="Arial" w:cs="Arial"/>
          <w:b/>
        </w:rPr>
        <w:t>6.</w:t>
      </w:r>
      <w:r w:rsidRPr="001F5793">
        <w:rPr>
          <w:rFonts w:ascii="Arial" w:hAnsi="Arial" w:cs="Arial"/>
          <w:b/>
        </w:rPr>
        <w:tab/>
      </w:r>
      <w:r w:rsidRPr="001F5793">
        <w:rPr>
          <w:rFonts w:ascii="Arial" w:hAnsi="Arial" w:cs="Arial"/>
          <w:b/>
          <w:u w:val="single"/>
        </w:rPr>
        <w:t>TOTAL BUDGET VARIANCE ON THE GENERAL RESERVE</w:t>
      </w:r>
    </w:p>
    <w:p w:rsidR="001F5793" w:rsidRDefault="001F5793" w:rsidP="001F5793">
      <w:pPr>
        <w:ind w:left="720" w:hanging="720"/>
        <w:rPr>
          <w:rFonts w:ascii="Arial" w:hAnsi="Arial" w:cs="Arial"/>
        </w:rPr>
      </w:pPr>
    </w:p>
    <w:p w:rsidR="001F5793" w:rsidRDefault="001F5793" w:rsidP="001F5793">
      <w:pPr>
        <w:ind w:left="720" w:hanging="720"/>
        <w:rPr>
          <w:rFonts w:ascii="Arial" w:hAnsi="Arial" w:cs="Arial"/>
        </w:rPr>
      </w:pPr>
      <w:r>
        <w:rPr>
          <w:rFonts w:ascii="Arial" w:hAnsi="Arial" w:cs="Arial"/>
          <w:b/>
        </w:rPr>
        <w:tab/>
      </w:r>
      <w:r w:rsidR="001E2927" w:rsidRPr="0078196C">
        <w:rPr>
          <w:rFonts w:ascii="Arial" w:hAnsi="Arial" w:cs="Arial"/>
        </w:rPr>
        <w:t>The Council finished the year with a General Reserve of £</w:t>
      </w:r>
      <w:r w:rsidR="0078196C" w:rsidRPr="0078196C">
        <w:rPr>
          <w:rFonts w:ascii="Arial" w:hAnsi="Arial" w:cs="Arial"/>
        </w:rPr>
        <w:t>427,366 (£478,194 2016/</w:t>
      </w:r>
      <w:r w:rsidR="0016486C">
        <w:rPr>
          <w:rFonts w:ascii="Arial" w:hAnsi="Arial" w:cs="Arial"/>
        </w:rPr>
        <w:t>1</w:t>
      </w:r>
      <w:r w:rsidR="0078196C" w:rsidRPr="0078196C">
        <w:rPr>
          <w:rFonts w:ascii="Arial" w:hAnsi="Arial" w:cs="Arial"/>
        </w:rPr>
        <w:t>7) and earmarked reserves of £172,616 (£179,333 2016/17), resulting in an overall reserve as at 31</w:t>
      </w:r>
      <w:r w:rsidR="0078196C" w:rsidRPr="0078196C">
        <w:rPr>
          <w:rFonts w:ascii="Arial" w:hAnsi="Arial" w:cs="Arial"/>
          <w:vertAlign w:val="superscript"/>
        </w:rPr>
        <w:t>st</w:t>
      </w:r>
      <w:r w:rsidR="0016486C">
        <w:rPr>
          <w:rFonts w:ascii="Arial" w:hAnsi="Arial" w:cs="Arial"/>
        </w:rPr>
        <w:t xml:space="preserve"> March 2018 of £599,981</w:t>
      </w:r>
      <w:r w:rsidR="0078196C" w:rsidRPr="0078196C">
        <w:rPr>
          <w:rFonts w:ascii="Arial" w:hAnsi="Arial" w:cs="Arial"/>
        </w:rPr>
        <w:t>.</w:t>
      </w:r>
    </w:p>
    <w:p w:rsidR="001E2927" w:rsidRDefault="001E2927" w:rsidP="001F5793">
      <w:pPr>
        <w:ind w:left="720" w:hanging="720"/>
        <w:rPr>
          <w:rFonts w:ascii="Arial" w:hAnsi="Arial" w:cs="Arial"/>
        </w:rPr>
      </w:pPr>
    </w:p>
    <w:p w:rsidR="001E2927" w:rsidRPr="001E2927" w:rsidRDefault="001E2927" w:rsidP="001F5793">
      <w:pPr>
        <w:ind w:left="720" w:hanging="720"/>
        <w:rPr>
          <w:rFonts w:ascii="Arial" w:hAnsi="Arial" w:cs="Arial"/>
          <w:b/>
        </w:rPr>
      </w:pPr>
      <w:r w:rsidRPr="001E2927">
        <w:rPr>
          <w:rFonts w:ascii="Arial" w:hAnsi="Arial" w:cs="Arial"/>
          <w:b/>
        </w:rPr>
        <w:t>7.</w:t>
      </w:r>
      <w:r w:rsidRPr="001E2927">
        <w:rPr>
          <w:rFonts w:ascii="Arial" w:hAnsi="Arial" w:cs="Arial"/>
          <w:b/>
        </w:rPr>
        <w:tab/>
      </w:r>
      <w:r w:rsidRPr="001E2927">
        <w:rPr>
          <w:rFonts w:ascii="Arial" w:hAnsi="Arial" w:cs="Arial"/>
          <w:b/>
          <w:u w:val="single"/>
        </w:rPr>
        <w:t>BORROWINGS</w:t>
      </w:r>
    </w:p>
    <w:p w:rsidR="001E2927" w:rsidRDefault="001E2927" w:rsidP="001F5793">
      <w:pPr>
        <w:ind w:left="720" w:hanging="720"/>
        <w:rPr>
          <w:rFonts w:ascii="Arial" w:hAnsi="Arial" w:cs="Arial"/>
        </w:rPr>
      </w:pPr>
    </w:p>
    <w:p w:rsidR="0085426B" w:rsidRDefault="001E2927" w:rsidP="0085426B">
      <w:pPr>
        <w:ind w:left="720" w:hanging="720"/>
        <w:rPr>
          <w:rFonts w:ascii="Arial" w:hAnsi="Arial" w:cs="Arial"/>
        </w:rPr>
      </w:pPr>
      <w:r>
        <w:rPr>
          <w:rFonts w:ascii="Arial" w:hAnsi="Arial" w:cs="Arial"/>
        </w:rPr>
        <w:tab/>
        <w:t>The Council has Public Works Loans Board borrowings of £1,796,356 as at 31</w:t>
      </w:r>
      <w:r w:rsidRPr="001E2927">
        <w:rPr>
          <w:rFonts w:ascii="Arial" w:hAnsi="Arial" w:cs="Arial"/>
          <w:vertAlign w:val="superscript"/>
        </w:rPr>
        <w:t>st</w:t>
      </w:r>
      <w:r>
        <w:rPr>
          <w:rFonts w:ascii="Arial" w:hAnsi="Arial" w:cs="Arial"/>
        </w:rPr>
        <w:t xml:space="preserve"> March 2018.</w:t>
      </w:r>
    </w:p>
    <w:p w:rsidR="00A3792B" w:rsidRDefault="00A3792B" w:rsidP="001F5793">
      <w:pPr>
        <w:ind w:left="720" w:hanging="720"/>
        <w:rPr>
          <w:rFonts w:ascii="Arial" w:hAnsi="Arial" w:cs="Arial"/>
        </w:rPr>
      </w:pPr>
    </w:p>
    <w:p w:rsidR="001E2927" w:rsidRPr="001E2927" w:rsidRDefault="0085426B" w:rsidP="001F5793">
      <w:pPr>
        <w:ind w:left="720" w:hanging="720"/>
        <w:rPr>
          <w:rFonts w:ascii="Arial" w:hAnsi="Arial" w:cs="Arial"/>
          <w:b/>
        </w:rPr>
      </w:pPr>
      <w:r>
        <w:rPr>
          <w:rFonts w:ascii="Arial" w:hAnsi="Arial" w:cs="Arial"/>
          <w:b/>
        </w:rPr>
        <w:t>8</w:t>
      </w:r>
      <w:r w:rsidR="001E2927" w:rsidRPr="001E2927">
        <w:rPr>
          <w:rFonts w:ascii="Arial" w:hAnsi="Arial" w:cs="Arial"/>
          <w:b/>
        </w:rPr>
        <w:t>.</w:t>
      </w:r>
      <w:r w:rsidR="001E2927" w:rsidRPr="001E2927">
        <w:rPr>
          <w:rFonts w:ascii="Arial" w:hAnsi="Arial" w:cs="Arial"/>
          <w:b/>
        </w:rPr>
        <w:tab/>
      </w:r>
      <w:r w:rsidR="001E2927" w:rsidRPr="001E2927">
        <w:rPr>
          <w:rFonts w:ascii="Arial" w:hAnsi="Arial" w:cs="Arial"/>
          <w:b/>
          <w:u w:val="single"/>
        </w:rPr>
        <w:t>RECOMMENDATIONS</w:t>
      </w:r>
      <w:r w:rsidR="001E2927" w:rsidRPr="001E2927">
        <w:rPr>
          <w:rFonts w:ascii="Arial" w:hAnsi="Arial" w:cs="Arial"/>
          <w:b/>
        </w:rPr>
        <w:t xml:space="preserve"> </w:t>
      </w:r>
    </w:p>
    <w:p w:rsidR="001E2927" w:rsidRDefault="001E2927" w:rsidP="001F5793">
      <w:pPr>
        <w:ind w:left="720" w:hanging="720"/>
        <w:rPr>
          <w:rFonts w:ascii="Arial" w:hAnsi="Arial" w:cs="Arial"/>
        </w:rPr>
      </w:pPr>
    </w:p>
    <w:p w:rsidR="001E2927" w:rsidRDefault="001E2927" w:rsidP="001F5793">
      <w:pPr>
        <w:ind w:left="720" w:hanging="720"/>
        <w:rPr>
          <w:rFonts w:ascii="Arial" w:hAnsi="Arial" w:cs="Arial"/>
        </w:rPr>
      </w:pPr>
      <w:r>
        <w:rPr>
          <w:rFonts w:ascii="Arial" w:hAnsi="Arial" w:cs="Arial"/>
        </w:rPr>
        <w:tab/>
        <w:t xml:space="preserve">It is </w:t>
      </w:r>
      <w:r w:rsidRPr="00C55C5B">
        <w:rPr>
          <w:rFonts w:ascii="Arial" w:hAnsi="Arial" w:cs="Arial"/>
          <w:b/>
          <w:u w:val="single"/>
        </w:rPr>
        <w:t>RECOMMENDED</w:t>
      </w:r>
      <w:r>
        <w:rPr>
          <w:rFonts w:ascii="Arial" w:hAnsi="Arial" w:cs="Arial"/>
        </w:rPr>
        <w:t xml:space="preserve"> that:</w:t>
      </w:r>
    </w:p>
    <w:p w:rsidR="001E2927" w:rsidRDefault="001E2927" w:rsidP="001F5793">
      <w:pPr>
        <w:ind w:left="720" w:hanging="720"/>
        <w:rPr>
          <w:rFonts w:ascii="Arial" w:hAnsi="Arial" w:cs="Arial"/>
        </w:rPr>
      </w:pPr>
    </w:p>
    <w:p w:rsidR="0085426B" w:rsidRDefault="0085426B" w:rsidP="00022495">
      <w:pPr>
        <w:pStyle w:val="ListParagraph"/>
        <w:numPr>
          <w:ilvl w:val="0"/>
          <w:numId w:val="30"/>
        </w:numPr>
        <w:rPr>
          <w:rFonts w:ascii="Arial" w:hAnsi="Arial" w:cs="Arial"/>
        </w:rPr>
      </w:pPr>
      <w:r w:rsidRPr="0085426B">
        <w:rPr>
          <w:rFonts w:ascii="Arial" w:hAnsi="Arial" w:cs="Arial"/>
        </w:rPr>
        <w:t xml:space="preserve">The Council approve the Annual Governance </w:t>
      </w:r>
      <w:r>
        <w:rPr>
          <w:rFonts w:ascii="Arial" w:hAnsi="Arial" w:cs="Arial"/>
        </w:rPr>
        <w:t>and Accountability Review</w:t>
      </w:r>
      <w:r w:rsidRPr="0085426B">
        <w:rPr>
          <w:rFonts w:ascii="Arial" w:hAnsi="Arial" w:cs="Arial"/>
        </w:rPr>
        <w:t xml:space="preserve"> 2017/18</w:t>
      </w:r>
      <w:r>
        <w:rPr>
          <w:rFonts w:ascii="Arial" w:hAnsi="Arial" w:cs="Arial"/>
        </w:rPr>
        <w:t xml:space="preserve"> and authorise the Chairman to sign the same</w:t>
      </w:r>
    </w:p>
    <w:p w:rsidR="001E2927" w:rsidRDefault="001E2927" w:rsidP="00003FB8">
      <w:pPr>
        <w:pStyle w:val="ListParagraph"/>
        <w:numPr>
          <w:ilvl w:val="0"/>
          <w:numId w:val="30"/>
        </w:numPr>
        <w:rPr>
          <w:rFonts w:ascii="Arial" w:hAnsi="Arial" w:cs="Arial"/>
        </w:rPr>
      </w:pPr>
      <w:r w:rsidRPr="0085426B">
        <w:rPr>
          <w:rFonts w:ascii="Arial" w:hAnsi="Arial" w:cs="Arial"/>
        </w:rPr>
        <w:t>The Council approve the end of year financial statement as a fair and accurate record of the Council’s financial position at 31</w:t>
      </w:r>
      <w:r w:rsidRPr="0085426B">
        <w:rPr>
          <w:rFonts w:ascii="Arial" w:hAnsi="Arial" w:cs="Arial"/>
          <w:vertAlign w:val="superscript"/>
        </w:rPr>
        <w:t>st</w:t>
      </w:r>
      <w:r w:rsidRPr="0085426B">
        <w:rPr>
          <w:rFonts w:ascii="Arial" w:hAnsi="Arial" w:cs="Arial"/>
        </w:rPr>
        <w:t xml:space="preserve"> March 201</w:t>
      </w:r>
      <w:r w:rsidR="0016486C">
        <w:rPr>
          <w:rFonts w:ascii="Arial" w:hAnsi="Arial" w:cs="Arial"/>
        </w:rPr>
        <w:t>8</w:t>
      </w:r>
    </w:p>
    <w:p w:rsidR="00003FB8" w:rsidRPr="00003FB8" w:rsidRDefault="00003FB8" w:rsidP="00003FB8">
      <w:pPr>
        <w:pStyle w:val="ListParagraph"/>
        <w:ind w:left="1080"/>
        <w:rPr>
          <w:rFonts w:ascii="Arial" w:hAnsi="Arial" w:cs="Arial"/>
        </w:rPr>
      </w:pPr>
    </w:p>
    <w:p w:rsidR="00003FB8" w:rsidRDefault="00003FB8" w:rsidP="001E2927">
      <w:pPr>
        <w:rPr>
          <w:rFonts w:ascii="Arial" w:hAnsi="Arial" w:cs="Arial"/>
        </w:rPr>
      </w:pPr>
    </w:p>
    <w:p w:rsidR="0016486C" w:rsidRDefault="0016486C" w:rsidP="001E2927">
      <w:pPr>
        <w:rPr>
          <w:rFonts w:ascii="Arial" w:hAnsi="Arial" w:cs="Arial"/>
        </w:rPr>
      </w:pPr>
    </w:p>
    <w:p w:rsidR="001E2927" w:rsidRDefault="001E2927" w:rsidP="001E2927">
      <w:pPr>
        <w:rPr>
          <w:rFonts w:ascii="Arial" w:hAnsi="Arial" w:cs="Arial"/>
        </w:rPr>
      </w:pPr>
      <w:r>
        <w:rPr>
          <w:rFonts w:ascii="Arial" w:hAnsi="Arial" w:cs="Arial"/>
        </w:rPr>
        <w:t>Report by: Nina L Villa, Assistant Clerk</w:t>
      </w:r>
    </w:p>
    <w:p w:rsidR="001E2927" w:rsidRPr="001E2927" w:rsidRDefault="001E2927" w:rsidP="001E2927">
      <w:pPr>
        <w:rPr>
          <w:rFonts w:ascii="Arial" w:hAnsi="Arial" w:cs="Arial"/>
        </w:rPr>
      </w:pPr>
      <w:r>
        <w:rPr>
          <w:rFonts w:ascii="Arial" w:hAnsi="Arial" w:cs="Arial"/>
        </w:rPr>
        <w:t xml:space="preserve">Associated Documents: </w:t>
      </w:r>
      <w:r w:rsidR="0085426B">
        <w:rPr>
          <w:rFonts w:ascii="Arial" w:hAnsi="Arial" w:cs="Arial"/>
        </w:rPr>
        <w:t>Budget Summary by Cost Centre</w:t>
      </w:r>
    </w:p>
    <w:sectPr w:rsidR="001E2927" w:rsidRPr="001E2927" w:rsidSect="00082DC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CE1" w:rsidRDefault="009A2CE1" w:rsidP="00016B30">
      <w:r>
        <w:separator/>
      </w:r>
    </w:p>
  </w:endnote>
  <w:endnote w:type="continuationSeparator" w:id="0">
    <w:p w:rsidR="009A2CE1" w:rsidRDefault="009A2CE1" w:rsidP="00016B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076943"/>
      <w:docPartObj>
        <w:docPartGallery w:val="Page Numbers (Bottom of Page)"/>
        <w:docPartUnique/>
      </w:docPartObj>
    </w:sdtPr>
    <w:sdtContent>
      <w:p w:rsidR="00B50C8B" w:rsidRDefault="00B50C8B">
        <w:pPr>
          <w:pStyle w:val="Footer"/>
          <w:jc w:val="right"/>
        </w:pPr>
        <w:fldSimple w:instr=" PAGE   \* MERGEFORMAT ">
          <w:r w:rsidR="00246251">
            <w:rPr>
              <w:noProof/>
            </w:rPr>
            <w:t>4</w:t>
          </w:r>
        </w:fldSimple>
      </w:p>
    </w:sdtContent>
  </w:sdt>
  <w:p w:rsidR="00B50C8B" w:rsidRDefault="00B50C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CE1" w:rsidRDefault="009A2CE1" w:rsidP="00016B30">
      <w:r>
        <w:separator/>
      </w:r>
    </w:p>
  </w:footnote>
  <w:footnote w:type="continuationSeparator" w:id="0">
    <w:p w:rsidR="009A2CE1" w:rsidRDefault="009A2CE1" w:rsidP="00016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076922"/>
      <w:docPartObj>
        <w:docPartGallery w:val="Page Numbers (Top of Page)"/>
        <w:docPartUnique/>
      </w:docPartObj>
    </w:sdtPr>
    <w:sdtContent>
      <w:p w:rsidR="00003FB8" w:rsidRDefault="00B50C8B" w:rsidP="00B50C8B">
        <w:pPr>
          <w:pStyle w:val="Header"/>
          <w:jc w:val="right"/>
        </w:pPr>
        <w:r>
          <w:t>Appendix C</w:t>
        </w:r>
      </w:p>
    </w:sdtContent>
  </w:sdt>
  <w:p w:rsidR="00003FB8" w:rsidRDefault="00003FB8" w:rsidP="00003FB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0047"/>
    <w:multiLevelType w:val="hybridMultilevel"/>
    <w:tmpl w:val="552CF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926DB2"/>
    <w:multiLevelType w:val="hybridMultilevel"/>
    <w:tmpl w:val="3E7440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0E871013"/>
    <w:multiLevelType w:val="hybridMultilevel"/>
    <w:tmpl w:val="A09E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18376F"/>
    <w:multiLevelType w:val="hybridMultilevel"/>
    <w:tmpl w:val="3B2EA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0738F6"/>
    <w:multiLevelType w:val="hybridMultilevel"/>
    <w:tmpl w:val="E9142E2E"/>
    <w:lvl w:ilvl="0" w:tplc="E9A4E7A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21B2657"/>
    <w:multiLevelType w:val="hybridMultilevel"/>
    <w:tmpl w:val="40A46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5032D9A"/>
    <w:multiLevelType w:val="hybridMultilevel"/>
    <w:tmpl w:val="3260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1C35DF"/>
    <w:multiLevelType w:val="hybridMultilevel"/>
    <w:tmpl w:val="1D0A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65093C"/>
    <w:multiLevelType w:val="hybridMultilevel"/>
    <w:tmpl w:val="CAEEA27E"/>
    <w:lvl w:ilvl="0" w:tplc="08090011">
      <w:start w:val="1"/>
      <w:numFmt w:val="decimal"/>
      <w:lvlText w:val="%1)"/>
      <w:lvlJc w:val="left"/>
      <w:pPr>
        <w:ind w:left="-135" w:hanging="360"/>
      </w:pPr>
    </w:lvl>
    <w:lvl w:ilvl="1" w:tplc="08090019" w:tentative="1">
      <w:start w:val="1"/>
      <w:numFmt w:val="lowerLetter"/>
      <w:lvlText w:val="%2."/>
      <w:lvlJc w:val="left"/>
      <w:pPr>
        <w:ind w:left="585" w:hanging="360"/>
      </w:pPr>
    </w:lvl>
    <w:lvl w:ilvl="2" w:tplc="0809001B" w:tentative="1">
      <w:start w:val="1"/>
      <w:numFmt w:val="lowerRoman"/>
      <w:lvlText w:val="%3."/>
      <w:lvlJc w:val="right"/>
      <w:pPr>
        <w:ind w:left="1305" w:hanging="180"/>
      </w:pPr>
    </w:lvl>
    <w:lvl w:ilvl="3" w:tplc="0809000F" w:tentative="1">
      <w:start w:val="1"/>
      <w:numFmt w:val="decimal"/>
      <w:lvlText w:val="%4."/>
      <w:lvlJc w:val="left"/>
      <w:pPr>
        <w:ind w:left="2025" w:hanging="360"/>
      </w:pPr>
    </w:lvl>
    <w:lvl w:ilvl="4" w:tplc="08090019" w:tentative="1">
      <w:start w:val="1"/>
      <w:numFmt w:val="lowerLetter"/>
      <w:lvlText w:val="%5."/>
      <w:lvlJc w:val="left"/>
      <w:pPr>
        <w:ind w:left="2745" w:hanging="360"/>
      </w:pPr>
    </w:lvl>
    <w:lvl w:ilvl="5" w:tplc="0809001B" w:tentative="1">
      <w:start w:val="1"/>
      <w:numFmt w:val="lowerRoman"/>
      <w:lvlText w:val="%6."/>
      <w:lvlJc w:val="right"/>
      <w:pPr>
        <w:ind w:left="3465" w:hanging="180"/>
      </w:pPr>
    </w:lvl>
    <w:lvl w:ilvl="6" w:tplc="0809000F" w:tentative="1">
      <w:start w:val="1"/>
      <w:numFmt w:val="decimal"/>
      <w:lvlText w:val="%7."/>
      <w:lvlJc w:val="left"/>
      <w:pPr>
        <w:ind w:left="4185" w:hanging="360"/>
      </w:pPr>
    </w:lvl>
    <w:lvl w:ilvl="7" w:tplc="08090019" w:tentative="1">
      <w:start w:val="1"/>
      <w:numFmt w:val="lowerLetter"/>
      <w:lvlText w:val="%8."/>
      <w:lvlJc w:val="left"/>
      <w:pPr>
        <w:ind w:left="4905" w:hanging="360"/>
      </w:pPr>
    </w:lvl>
    <w:lvl w:ilvl="8" w:tplc="0809001B" w:tentative="1">
      <w:start w:val="1"/>
      <w:numFmt w:val="lowerRoman"/>
      <w:lvlText w:val="%9."/>
      <w:lvlJc w:val="right"/>
      <w:pPr>
        <w:ind w:left="5625" w:hanging="180"/>
      </w:pPr>
    </w:lvl>
  </w:abstractNum>
  <w:abstractNum w:abstractNumId="9">
    <w:nsid w:val="2C805CBD"/>
    <w:multiLevelType w:val="hybridMultilevel"/>
    <w:tmpl w:val="AC5A81E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1EA2898"/>
    <w:multiLevelType w:val="hybridMultilevel"/>
    <w:tmpl w:val="8BEA2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F976C3"/>
    <w:multiLevelType w:val="hybridMultilevel"/>
    <w:tmpl w:val="8AF0B3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B446319"/>
    <w:multiLevelType w:val="hybridMultilevel"/>
    <w:tmpl w:val="161EC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09C635C"/>
    <w:multiLevelType w:val="hybridMultilevel"/>
    <w:tmpl w:val="7CE49ADE"/>
    <w:lvl w:ilvl="0" w:tplc="AD1802F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9783FE1"/>
    <w:multiLevelType w:val="hybridMultilevel"/>
    <w:tmpl w:val="A8A09A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A902B6D"/>
    <w:multiLevelType w:val="hybridMultilevel"/>
    <w:tmpl w:val="C318F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0424AE8"/>
    <w:multiLevelType w:val="hybridMultilevel"/>
    <w:tmpl w:val="2F9AB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7860041"/>
    <w:multiLevelType w:val="hybridMultilevel"/>
    <w:tmpl w:val="696E018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99F68C0"/>
    <w:multiLevelType w:val="hybridMultilevel"/>
    <w:tmpl w:val="ED1C14F8"/>
    <w:lvl w:ilvl="0" w:tplc="185283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89340E"/>
    <w:multiLevelType w:val="hybridMultilevel"/>
    <w:tmpl w:val="417CC6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617E698F"/>
    <w:multiLevelType w:val="hybridMultilevel"/>
    <w:tmpl w:val="82EAE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2E83123"/>
    <w:multiLevelType w:val="hybridMultilevel"/>
    <w:tmpl w:val="A3D47D1A"/>
    <w:lvl w:ilvl="0" w:tplc="B12C71D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6243FE9"/>
    <w:multiLevelType w:val="hybridMultilevel"/>
    <w:tmpl w:val="018EE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68F547E"/>
    <w:multiLevelType w:val="hybridMultilevel"/>
    <w:tmpl w:val="D8221F46"/>
    <w:lvl w:ilvl="0" w:tplc="03C02B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7004544"/>
    <w:multiLevelType w:val="hybridMultilevel"/>
    <w:tmpl w:val="37A41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8E03068"/>
    <w:multiLevelType w:val="hybridMultilevel"/>
    <w:tmpl w:val="73D89510"/>
    <w:lvl w:ilvl="0" w:tplc="4FE46D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16D3086"/>
    <w:multiLevelType w:val="hybridMultilevel"/>
    <w:tmpl w:val="EB04A2B0"/>
    <w:lvl w:ilvl="0" w:tplc="E9D2DF9C">
      <w:start w:val="1"/>
      <w:numFmt w:val="decimal"/>
      <w:lvlText w:val="%1."/>
      <w:lvlJc w:val="left"/>
      <w:pPr>
        <w:ind w:left="360" w:hanging="360"/>
      </w:pPr>
      <w:rPr>
        <w:rFonts w:ascii="Calibri" w:eastAsia="Times New Roman" w:hAnsi="Calibri"/>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7">
    <w:nsid w:val="71BA3755"/>
    <w:multiLevelType w:val="hybridMultilevel"/>
    <w:tmpl w:val="6CDED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4FC2D9B"/>
    <w:multiLevelType w:val="hybridMultilevel"/>
    <w:tmpl w:val="5D96C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5F16CFA"/>
    <w:multiLevelType w:val="hybridMultilevel"/>
    <w:tmpl w:val="3A0062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8"/>
  </w:num>
  <w:num w:numId="3">
    <w:abstractNumId w:val="19"/>
  </w:num>
  <w:num w:numId="4">
    <w:abstractNumId w:val="11"/>
  </w:num>
  <w:num w:numId="5">
    <w:abstractNumId w:val="24"/>
  </w:num>
  <w:num w:numId="6">
    <w:abstractNumId w:val="17"/>
  </w:num>
  <w:num w:numId="7">
    <w:abstractNumId w:val="0"/>
  </w:num>
  <w:num w:numId="8">
    <w:abstractNumId w:val="15"/>
  </w:num>
  <w:num w:numId="9">
    <w:abstractNumId w:val="28"/>
  </w:num>
  <w:num w:numId="10">
    <w:abstractNumId w:val="5"/>
  </w:num>
  <w:num w:numId="11">
    <w:abstractNumId w:val="22"/>
  </w:num>
  <w:num w:numId="12">
    <w:abstractNumId w:val="12"/>
  </w:num>
  <w:num w:numId="13">
    <w:abstractNumId w:val="3"/>
  </w:num>
  <w:num w:numId="14">
    <w:abstractNumId w:val="20"/>
  </w:num>
  <w:num w:numId="15">
    <w:abstractNumId w:val="16"/>
  </w:num>
  <w:num w:numId="16">
    <w:abstractNumId w:val="8"/>
  </w:num>
  <w:num w:numId="17">
    <w:abstractNumId w:val="29"/>
  </w:num>
  <w:num w:numId="18">
    <w:abstractNumId w:val="14"/>
  </w:num>
  <w:num w:numId="19">
    <w:abstractNumId w:val="9"/>
  </w:num>
  <w:num w:numId="20">
    <w:abstractNumId w:val="2"/>
  </w:num>
  <w:num w:numId="21">
    <w:abstractNumId w:val="4"/>
  </w:num>
  <w:num w:numId="22">
    <w:abstractNumId w:val="21"/>
  </w:num>
  <w:num w:numId="23">
    <w:abstractNumId w:val="13"/>
  </w:num>
  <w:num w:numId="24">
    <w:abstractNumId w:val="7"/>
  </w:num>
  <w:num w:numId="25">
    <w:abstractNumId w:val="10"/>
  </w:num>
  <w:num w:numId="26">
    <w:abstractNumId w:val="26"/>
  </w:num>
  <w:num w:numId="27">
    <w:abstractNumId w:val="27"/>
  </w:num>
  <w:num w:numId="28">
    <w:abstractNumId w:val="23"/>
  </w:num>
  <w:num w:numId="29">
    <w:abstractNumId w:val="1"/>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rsids>
    <w:rsidRoot w:val="00016B30"/>
    <w:rsid w:val="00003FB8"/>
    <w:rsid w:val="00016B30"/>
    <w:rsid w:val="000430E5"/>
    <w:rsid w:val="000513D3"/>
    <w:rsid w:val="00071153"/>
    <w:rsid w:val="00082DC6"/>
    <w:rsid w:val="000B4273"/>
    <w:rsid w:val="00111104"/>
    <w:rsid w:val="0012625D"/>
    <w:rsid w:val="001302E5"/>
    <w:rsid w:val="001309DE"/>
    <w:rsid w:val="00162BEA"/>
    <w:rsid w:val="0016486C"/>
    <w:rsid w:val="00165F38"/>
    <w:rsid w:val="00186D71"/>
    <w:rsid w:val="001C3AA3"/>
    <w:rsid w:val="001E2927"/>
    <w:rsid w:val="001E58E7"/>
    <w:rsid w:val="001F3F00"/>
    <w:rsid w:val="001F5793"/>
    <w:rsid w:val="001F5CBA"/>
    <w:rsid w:val="0020038B"/>
    <w:rsid w:val="00216380"/>
    <w:rsid w:val="00222004"/>
    <w:rsid w:val="00232B7F"/>
    <w:rsid w:val="00246251"/>
    <w:rsid w:val="002567C7"/>
    <w:rsid w:val="00256FB8"/>
    <w:rsid w:val="00257C38"/>
    <w:rsid w:val="00287CBB"/>
    <w:rsid w:val="002A27A3"/>
    <w:rsid w:val="002F3387"/>
    <w:rsid w:val="00337397"/>
    <w:rsid w:val="00337D80"/>
    <w:rsid w:val="00343A97"/>
    <w:rsid w:val="00371D9F"/>
    <w:rsid w:val="00393D12"/>
    <w:rsid w:val="003C5685"/>
    <w:rsid w:val="003F2DA2"/>
    <w:rsid w:val="004078DF"/>
    <w:rsid w:val="00452395"/>
    <w:rsid w:val="004814BC"/>
    <w:rsid w:val="004A0D85"/>
    <w:rsid w:val="004C50A3"/>
    <w:rsid w:val="004E2D26"/>
    <w:rsid w:val="004F216F"/>
    <w:rsid w:val="0053269B"/>
    <w:rsid w:val="00533ECE"/>
    <w:rsid w:val="0054258D"/>
    <w:rsid w:val="00557E7D"/>
    <w:rsid w:val="00565A17"/>
    <w:rsid w:val="00585450"/>
    <w:rsid w:val="005C199E"/>
    <w:rsid w:val="005D5E20"/>
    <w:rsid w:val="006218F1"/>
    <w:rsid w:val="006325B1"/>
    <w:rsid w:val="0066116F"/>
    <w:rsid w:val="006666FB"/>
    <w:rsid w:val="00685D26"/>
    <w:rsid w:val="006A6BEC"/>
    <w:rsid w:val="006D1A38"/>
    <w:rsid w:val="006D6FE3"/>
    <w:rsid w:val="006E756E"/>
    <w:rsid w:val="007740BF"/>
    <w:rsid w:val="0078196C"/>
    <w:rsid w:val="00813CF3"/>
    <w:rsid w:val="008412B2"/>
    <w:rsid w:val="0085426B"/>
    <w:rsid w:val="008C385C"/>
    <w:rsid w:val="00917C7C"/>
    <w:rsid w:val="0099549E"/>
    <w:rsid w:val="009A2CE1"/>
    <w:rsid w:val="009B2B62"/>
    <w:rsid w:val="009E4DCE"/>
    <w:rsid w:val="009E4E56"/>
    <w:rsid w:val="00A11B2C"/>
    <w:rsid w:val="00A3792B"/>
    <w:rsid w:val="00AF0A93"/>
    <w:rsid w:val="00B100DE"/>
    <w:rsid w:val="00B25DD8"/>
    <w:rsid w:val="00B50C8B"/>
    <w:rsid w:val="00B63F28"/>
    <w:rsid w:val="00BB2B99"/>
    <w:rsid w:val="00BB5241"/>
    <w:rsid w:val="00BD2068"/>
    <w:rsid w:val="00BE4EAD"/>
    <w:rsid w:val="00C03BDC"/>
    <w:rsid w:val="00C302EC"/>
    <w:rsid w:val="00C34470"/>
    <w:rsid w:val="00C55C5B"/>
    <w:rsid w:val="00C70711"/>
    <w:rsid w:val="00C76EE3"/>
    <w:rsid w:val="00C810E1"/>
    <w:rsid w:val="00CA17D5"/>
    <w:rsid w:val="00CF7E8D"/>
    <w:rsid w:val="00D22613"/>
    <w:rsid w:val="00D44129"/>
    <w:rsid w:val="00D46747"/>
    <w:rsid w:val="00DC16B6"/>
    <w:rsid w:val="00DC3C4F"/>
    <w:rsid w:val="00DD22A3"/>
    <w:rsid w:val="00DE0B1A"/>
    <w:rsid w:val="00E01B15"/>
    <w:rsid w:val="00E40364"/>
    <w:rsid w:val="00EC3C53"/>
    <w:rsid w:val="00ED54FA"/>
    <w:rsid w:val="00F174B2"/>
    <w:rsid w:val="00F20FC3"/>
    <w:rsid w:val="00F31C03"/>
    <w:rsid w:val="00F37BDD"/>
    <w:rsid w:val="00F74F17"/>
    <w:rsid w:val="00F904EE"/>
    <w:rsid w:val="00F9527F"/>
    <w:rsid w:val="00FB10B7"/>
    <w:rsid w:val="00FC6668"/>
    <w:rsid w:val="00FF21D7"/>
    <w:rsid w:val="00FF79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2D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6B30"/>
    <w:pPr>
      <w:tabs>
        <w:tab w:val="center" w:pos="4513"/>
        <w:tab w:val="right" w:pos="9026"/>
      </w:tabs>
    </w:pPr>
  </w:style>
  <w:style w:type="character" w:customStyle="1" w:styleId="HeaderChar">
    <w:name w:val="Header Char"/>
    <w:basedOn w:val="DefaultParagraphFont"/>
    <w:link w:val="Header"/>
    <w:uiPriority w:val="99"/>
    <w:rsid w:val="00016B30"/>
    <w:rPr>
      <w:sz w:val="24"/>
      <w:szCs w:val="24"/>
    </w:rPr>
  </w:style>
  <w:style w:type="paragraph" w:styleId="Footer">
    <w:name w:val="footer"/>
    <w:basedOn w:val="Normal"/>
    <w:link w:val="FooterChar"/>
    <w:uiPriority w:val="99"/>
    <w:rsid w:val="00016B30"/>
    <w:pPr>
      <w:tabs>
        <w:tab w:val="center" w:pos="4513"/>
        <w:tab w:val="right" w:pos="9026"/>
      </w:tabs>
    </w:pPr>
  </w:style>
  <w:style w:type="character" w:customStyle="1" w:styleId="FooterChar">
    <w:name w:val="Footer Char"/>
    <w:basedOn w:val="DefaultParagraphFont"/>
    <w:link w:val="Footer"/>
    <w:uiPriority w:val="99"/>
    <w:rsid w:val="00016B30"/>
    <w:rPr>
      <w:sz w:val="24"/>
      <w:szCs w:val="24"/>
    </w:rPr>
  </w:style>
  <w:style w:type="paragraph" w:customStyle="1" w:styleId="Default">
    <w:name w:val="Default"/>
    <w:rsid w:val="00016B30"/>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557E7D"/>
    <w:pPr>
      <w:ind w:left="720"/>
      <w:contextualSpacing/>
    </w:pPr>
  </w:style>
  <w:style w:type="table" w:styleId="TableGrid">
    <w:name w:val="Table Grid"/>
    <w:basedOn w:val="TableNormal"/>
    <w:rsid w:val="00232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232B7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F3387"/>
    <w:rPr>
      <w:color w:val="0000FF"/>
      <w:u w:val="single"/>
    </w:rPr>
  </w:style>
  <w:style w:type="character" w:styleId="CommentReference">
    <w:name w:val="annotation reference"/>
    <w:basedOn w:val="DefaultParagraphFont"/>
    <w:rsid w:val="00A11B2C"/>
    <w:rPr>
      <w:sz w:val="16"/>
      <w:szCs w:val="16"/>
    </w:rPr>
  </w:style>
  <w:style w:type="paragraph" w:styleId="CommentText">
    <w:name w:val="annotation text"/>
    <w:basedOn w:val="Normal"/>
    <w:link w:val="CommentTextChar"/>
    <w:rsid w:val="00A11B2C"/>
    <w:rPr>
      <w:sz w:val="20"/>
      <w:szCs w:val="20"/>
    </w:rPr>
  </w:style>
  <w:style w:type="character" w:customStyle="1" w:styleId="CommentTextChar">
    <w:name w:val="Comment Text Char"/>
    <w:basedOn w:val="DefaultParagraphFont"/>
    <w:link w:val="CommentText"/>
    <w:rsid w:val="00A11B2C"/>
  </w:style>
  <w:style w:type="paragraph" w:styleId="CommentSubject">
    <w:name w:val="annotation subject"/>
    <w:basedOn w:val="CommentText"/>
    <w:next w:val="CommentText"/>
    <w:link w:val="CommentSubjectChar"/>
    <w:rsid w:val="00A11B2C"/>
    <w:rPr>
      <w:b/>
      <w:bCs/>
    </w:rPr>
  </w:style>
  <w:style w:type="character" w:customStyle="1" w:styleId="CommentSubjectChar">
    <w:name w:val="Comment Subject Char"/>
    <w:basedOn w:val="CommentTextChar"/>
    <w:link w:val="CommentSubject"/>
    <w:rsid w:val="00A11B2C"/>
    <w:rPr>
      <w:b/>
      <w:bCs/>
    </w:rPr>
  </w:style>
  <w:style w:type="paragraph" w:styleId="BalloonText">
    <w:name w:val="Balloon Text"/>
    <w:basedOn w:val="Normal"/>
    <w:link w:val="BalloonTextChar"/>
    <w:rsid w:val="00A11B2C"/>
    <w:rPr>
      <w:rFonts w:ascii="Segoe UI" w:hAnsi="Segoe UI" w:cs="Segoe UI"/>
      <w:sz w:val="18"/>
      <w:szCs w:val="18"/>
    </w:rPr>
  </w:style>
  <w:style w:type="character" w:customStyle="1" w:styleId="BalloonTextChar">
    <w:name w:val="Balloon Text Char"/>
    <w:basedOn w:val="DefaultParagraphFont"/>
    <w:link w:val="BalloonText"/>
    <w:rsid w:val="00A11B2C"/>
    <w:rPr>
      <w:rFonts w:ascii="Segoe UI" w:hAnsi="Segoe UI" w:cs="Segoe UI"/>
      <w:sz w:val="18"/>
      <w:szCs w:val="18"/>
    </w:rPr>
  </w:style>
  <w:style w:type="paragraph" w:styleId="NoSpacing">
    <w:name w:val="No Spacing"/>
    <w:uiPriority w:val="1"/>
    <w:qFormat/>
    <w:rsid w:val="001F5793"/>
    <w:pPr>
      <w:jc w:val="both"/>
    </w:pPr>
    <w:rPr>
      <w:rFonts w:ascii="Arial" w:eastAsiaTheme="minorHAnsi" w:hAnsi="Arial" w:cstheme="minorBidi"/>
      <w:sz w:val="21"/>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6B30"/>
    <w:pPr>
      <w:tabs>
        <w:tab w:val="center" w:pos="4513"/>
        <w:tab w:val="right" w:pos="9026"/>
      </w:tabs>
    </w:pPr>
  </w:style>
  <w:style w:type="character" w:customStyle="1" w:styleId="HeaderChar">
    <w:name w:val="Header Char"/>
    <w:basedOn w:val="DefaultParagraphFont"/>
    <w:link w:val="Header"/>
    <w:uiPriority w:val="99"/>
    <w:rsid w:val="00016B30"/>
    <w:rPr>
      <w:sz w:val="24"/>
      <w:szCs w:val="24"/>
    </w:rPr>
  </w:style>
  <w:style w:type="paragraph" w:styleId="Footer">
    <w:name w:val="footer"/>
    <w:basedOn w:val="Normal"/>
    <w:link w:val="FooterChar"/>
    <w:uiPriority w:val="99"/>
    <w:rsid w:val="00016B30"/>
    <w:pPr>
      <w:tabs>
        <w:tab w:val="center" w:pos="4513"/>
        <w:tab w:val="right" w:pos="9026"/>
      </w:tabs>
    </w:pPr>
  </w:style>
  <w:style w:type="character" w:customStyle="1" w:styleId="FooterChar">
    <w:name w:val="Footer Char"/>
    <w:basedOn w:val="DefaultParagraphFont"/>
    <w:link w:val="Footer"/>
    <w:uiPriority w:val="99"/>
    <w:rsid w:val="00016B30"/>
    <w:rPr>
      <w:sz w:val="24"/>
      <w:szCs w:val="24"/>
    </w:rPr>
  </w:style>
  <w:style w:type="paragraph" w:customStyle="1" w:styleId="Default">
    <w:name w:val="Default"/>
    <w:rsid w:val="00016B30"/>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557E7D"/>
    <w:pPr>
      <w:ind w:left="720"/>
      <w:contextualSpacing/>
    </w:pPr>
  </w:style>
  <w:style w:type="table" w:styleId="TableGrid">
    <w:name w:val="Table Grid"/>
    <w:basedOn w:val="TableNormal"/>
    <w:rsid w:val="00232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Normal"/>
    <w:uiPriority w:val="41"/>
    <w:rsid w:val="00232B7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F3387"/>
    <w:rPr>
      <w:color w:val="0000FF"/>
      <w:u w:val="single"/>
    </w:rPr>
  </w:style>
  <w:style w:type="character" w:styleId="CommentReference">
    <w:name w:val="annotation reference"/>
    <w:basedOn w:val="DefaultParagraphFont"/>
    <w:rsid w:val="00A11B2C"/>
    <w:rPr>
      <w:sz w:val="16"/>
      <w:szCs w:val="16"/>
    </w:rPr>
  </w:style>
  <w:style w:type="paragraph" w:styleId="CommentText">
    <w:name w:val="annotation text"/>
    <w:basedOn w:val="Normal"/>
    <w:link w:val="CommentTextChar"/>
    <w:rsid w:val="00A11B2C"/>
    <w:rPr>
      <w:sz w:val="20"/>
      <w:szCs w:val="20"/>
    </w:rPr>
  </w:style>
  <w:style w:type="character" w:customStyle="1" w:styleId="CommentTextChar">
    <w:name w:val="Comment Text Char"/>
    <w:basedOn w:val="DefaultParagraphFont"/>
    <w:link w:val="CommentText"/>
    <w:rsid w:val="00A11B2C"/>
  </w:style>
  <w:style w:type="paragraph" w:styleId="CommentSubject">
    <w:name w:val="annotation subject"/>
    <w:basedOn w:val="CommentText"/>
    <w:next w:val="CommentText"/>
    <w:link w:val="CommentSubjectChar"/>
    <w:rsid w:val="00A11B2C"/>
    <w:rPr>
      <w:b/>
      <w:bCs/>
    </w:rPr>
  </w:style>
  <w:style w:type="character" w:customStyle="1" w:styleId="CommentSubjectChar">
    <w:name w:val="Comment Subject Char"/>
    <w:basedOn w:val="CommentTextChar"/>
    <w:link w:val="CommentSubject"/>
    <w:rsid w:val="00A11B2C"/>
    <w:rPr>
      <w:b/>
      <w:bCs/>
    </w:rPr>
  </w:style>
  <w:style w:type="paragraph" w:styleId="BalloonText">
    <w:name w:val="Balloon Text"/>
    <w:basedOn w:val="Normal"/>
    <w:link w:val="BalloonTextChar"/>
    <w:rsid w:val="00A11B2C"/>
    <w:rPr>
      <w:rFonts w:ascii="Segoe UI" w:hAnsi="Segoe UI" w:cs="Segoe UI"/>
      <w:sz w:val="18"/>
      <w:szCs w:val="18"/>
    </w:rPr>
  </w:style>
  <w:style w:type="character" w:customStyle="1" w:styleId="BalloonTextChar">
    <w:name w:val="Balloon Text Char"/>
    <w:basedOn w:val="DefaultParagraphFont"/>
    <w:link w:val="BalloonText"/>
    <w:rsid w:val="00A11B2C"/>
    <w:rPr>
      <w:rFonts w:ascii="Segoe UI" w:hAnsi="Segoe UI" w:cs="Segoe UI"/>
      <w:sz w:val="18"/>
      <w:szCs w:val="18"/>
    </w:rPr>
  </w:style>
  <w:style w:type="paragraph" w:styleId="NoSpacing">
    <w:name w:val="No Spacing"/>
    <w:uiPriority w:val="1"/>
    <w:qFormat/>
    <w:rsid w:val="001F5793"/>
    <w:pPr>
      <w:jc w:val="both"/>
    </w:pPr>
    <w:rPr>
      <w:rFonts w:ascii="Arial" w:eastAsiaTheme="minorHAnsi" w:hAnsi="Arial" w:cstheme="minorBidi"/>
      <w:sz w:val="21"/>
      <w:szCs w:val="22"/>
      <w:lang w:eastAsia="en-US"/>
    </w:rPr>
  </w:style>
</w:styles>
</file>

<file path=word/webSettings.xml><?xml version="1.0" encoding="utf-8"?>
<w:webSettings xmlns:r="http://schemas.openxmlformats.org/officeDocument/2006/relationships" xmlns:w="http://schemas.openxmlformats.org/wordprocessingml/2006/main">
  <w:divs>
    <w:div w:id="63191213">
      <w:bodyDiv w:val="1"/>
      <w:marLeft w:val="0"/>
      <w:marRight w:val="0"/>
      <w:marTop w:val="0"/>
      <w:marBottom w:val="0"/>
      <w:divBdr>
        <w:top w:val="none" w:sz="0" w:space="0" w:color="auto"/>
        <w:left w:val="none" w:sz="0" w:space="0" w:color="auto"/>
        <w:bottom w:val="none" w:sz="0" w:space="0" w:color="auto"/>
        <w:right w:val="none" w:sz="0" w:space="0" w:color="auto"/>
      </w:divBdr>
    </w:div>
    <w:div w:id="670791283">
      <w:bodyDiv w:val="1"/>
      <w:marLeft w:val="0"/>
      <w:marRight w:val="0"/>
      <w:marTop w:val="0"/>
      <w:marBottom w:val="0"/>
      <w:divBdr>
        <w:top w:val="none" w:sz="0" w:space="0" w:color="auto"/>
        <w:left w:val="none" w:sz="0" w:space="0" w:color="auto"/>
        <w:bottom w:val="none" w:sz="0" w:space="0" w:color="auto"/>
        <w:right w:val="none" w:sz="0" w:space="0" w:color="auto"/>
      </w:divBdr>
    </w:div>
    <w:div w:id="967585792">
      <w:bodyDiv w:val="1"/>
      <w:marLeft w:val="0"/>
      <w:marRight w:val="0"/>
      <w:marTop w:val="0"/>
      <w:marBottom w:val="0"/>
      <w:divBdr>
        <w:top w:val="none" w:sz="0" w:space="0" w:color="auto"/>
        <w:left w:val="none" w:sz="0" w:space="0" w:color="auto"/>
        <w:bottom w:val="none" w:sz="0" w:space="0" w:color="auto"/>
        <w:right w:val="none" w:sz="0" w:space="0" w:color="auto"/>
      </w:divBdr>
    </w:div>
    <w:div w:id="1338120349">
      <w:bodyDiv w:val="1"/>
      <w:marLeft w:val="0"/>
      <w:marRight w:val="0"/>
      <w:marTop w:val="0"/>
      <w:marBottom w:val="0"/>
      <w:divBdr>
        <w:top w:val="none" w:sz="0" w:space="0" w:color="auto"/>
        <w:left w:val="none" w:sz="0" w:space="0" w:color="auto"/>
        <w:bottom w:val="none" w:sz="0" w:space="0" w:color="auto"/>
        <w:right w:val="none" w:sz="0" w:space="0" w:color="auto"/>
      </w:divBdr>
    </w:div>
    <w:div w:id="1524200893">
      <w:bodyDiv w:val="1"/>
      <w:marLeft w:val="0"/>
      <w:marRight w:val="0"/>
      <w:marTop w:val="0"/>
      <w:marBottom w:val="0"/>
      <w:divBdr>
        <w:top w:val="none" w:sz="0" w:space="0" w:color="auto"/>
        <w:left w:val="none" w:sz="0" w:space="0" w:color="auto"/>
        <w:bottom w:val="none" w:sz="0" w:space="0" w:color="auto"/>
        <w:right w:val="none" w:sz="0" w:space="0" w:color="auto"/>
      </w:divBdr>
    </w:div>
    <w:div w:id="1586263569">
      <w:bodyDiv w:val="1"/>
      <w:marLeft w:val="0"/>
      <w:marRight w:val="0"/>
      <w:marTop w:val="0"/>
      <w:marBottom w:val="0"/>
      <w:divBdr>
        <w:top w:val="none" w:sz="0" w:space="0" w:color="auto"/>
        <w:left w:val="none" w:sz="0" w:space="0" w:color="auto"/>
        <w:bottom w:val="none" w:sz="0" w:space="0" w:color="auto"/>
        <w:right w:val="none" w:sz="0" w:space="0" w:color="auto"/>
      </w:divBdr>
      <w:divsChild>
        <w:div w:id="968900793">
          <w:marLeft w:val="0"/>
          <w:marRight w:val="0"/>
          <w:marTop w:val="0"/>
          <w:marBottom w:val="0"/>
          <w:divBdr>
            <w:top w:val="none" w:sz="0" w:space="0" w:color="auto"/>
            <w:left w:val="none" w:sz="0" w:space="0" w:color="auto"/>
            <w:bottom w:val="single" w:sz="18" w:space="0" w:color="E4E4E4"/>
            <w:right w:val="none" w:sz="0" w:space="0" w:color="auto"/>
          </w:divBdr>
          <w:divsChild>
            <w:div w:id="354624666">
              <w:marLeft w:val="0"/>
              <w:marRight w:val="0"/>
              <w:marTop w:val="0"/>
              <w:marBottom w:val="0"/>
              <w:divBdr>
                <w:top w:val="none" w:sz="0" w:space="0" w:color="auto"/>
                <w:left w:val="none" w:sz="0" w:space="0" w:color="auto"/>
                <w:bottom w:val="none" w:sz="0" w:space="0" w:color="auto"/>
                <w:right w:val="none" w:sz="0" w:space="0" w:color="auto"/>
              </w:divBdr>
              <w:divsChild>
                <w:div w:id="1860925863">
                  <w:marLeft w:val="0"/>
                  <w:marRight w:val="0"/>
                  <w:marTop w:val="0"/>
                  <w:marBottom w:val="0"/>
                  <w:divBdr>
                    <w:top w:val="none" w:sz="0" w:space="0" w:color="auto"/>
                    <w:left w:val="none" w:sz="0" w:space="0" w:color="auto"/>
                    <w:bottom w:val="none" w:sz="0" w:space="0" w:color="auto"/>
                    <w:right w:val="none" w:sz="0" w:space="0" w:color="auto"/>
                  </w:divBdr>
                  <w:divsChild>
                    <w:div w:id="383259085">
                      <w:marLeft w:val="0"/>
                      <w:marRight w:val="0"/>
                      <w:marTop w:val="0"/>
                      <w:marBottom w:val="0"/>
                      <w:divBdr>
                        <w:top w:val="none" w:sz="0" w:space="0" w:color="auto"/>
                        <w:left w:val="none" w:sz="0" w:space="0" w:color="auto"/>
                        <w:bottom w:val="none" w:sz="0" w:space="0" w:color="auto"/>
                        <w:right w:val="none" w:sz="0" w:space="0" w:color="auto"/>
                      </w:divBdr>
                      <w:divsChild>
                        <w:div w:id="1629043320">
                          <w:marLeft w:val="0"/>
                          <w:marRight w:val="0"/>
                          <w:marTop w:val="0"/>
                          <w:marBottom w:val="0"/>
                          <w:divBdr>
                            <w:top w:val="none" w:sz="0" w:space="0" w:color="auto"/>
                            <w:left w:val="none" w:sz="0" w:space="0" w:color="auto"/>
                            <w:bottom w:val="none" w:sz="0" w:space="0" w:color="auto"/>
                            <w:right w:val="none" w:sz="0" w:space="0" w:color="auto"/>
                          </w:divBdr>
                          <w:divsChild>
                            <w:div w:id="1084691650">
                              <w:marLeft w:val="0"/>
                              <w:marRight w:val="0"/>
                              <w:marTop w:val="0"/>
                              <w:marBottom w:val="0"/>
                              <w:divBdr>
                                <w:top w:val="none" w:sz="0" w:space="0" w:color="auto"/>
                                <w:left w:val="none" w:sz="0" w:space="0" w:color="auto"/>
                                <w:bottom w:val="none" w:sz="0" w:space="0" w:color="auto"/>
                                <w:right w:val="none" w:sz="0" w:space="0" w:color="auto"/>
                              </w:divBdr>
                            </w:div>
                            <w:div w:id="1823695530">
                              <w:marLeft w:val="0"/>
                              <w:marRight w:val="0"/>
                              <w:marTop w:val="0"/>
                              <w:marBottom w:val="0"/>
                              <w:divBdr>
                                <w:top w:val="none" w:sz="0" w:space="0" w:color="auto"/>
                                <w:left w:val="none" w:sz="0" w:space="0" w:color="auto"/>
                                <w:bottom w:val="none" w:sz="0" w:space="0" w:color="auto"/>
                                <w:right w:val="none" w:sz="0" w:space="0" w:color="auto"/>
                              </w:divBdr>
                            </w:div>
                            <w:div w:id="1121342615">
                              <w:marLeft w:val="0"/>
                              <w:marRight w:val="0"/>
                              <w:marTop w:val="0"/>
                              <w:marBottom w:val="0"/>
                              <w:divBdr>
                                <w:top w:val="none" w:sz="0" w:space="0" w:color="auto"/>
                                <w:left w:val="none" w:sz="0" w:space="0" w:color="auto"/>
                                <w:bottom w:val="none" w:sz="0" w:space="0" w:color="auto"/>
                                <w:right w:val="none" w:sz="0" w:space="0" w:color="auto"/>
                              </w:divBdr>
                            </w:div>
                            <w:div w:id="1152215574">
                              <w:marLeft w:val="0"/>
                              <w:marRight w:val="0"/>
                              <w:marTop w:val="0"/>
                              <w:marBottom w:val="0"/>
                              <w:divBdr>
                                <w:top w:val="none" w:sz="0" w:space="0" w:color="auto"/>
                                <w:left w:val="none" w:sz="0" w:space="0" w:color="auto"/>
                                <w:bottom w:val="none" w:sz="0" w:space="0" w:color="auto"/>
                                <w:right w:val="none" w:sz="0" w:space="0" w:color="auto"/>
                              </w:divBdr>
                            </w:div>
                            <w:div w:id="2144884664">
                              <w:marLeft w:val="0"/>
                              <w:marRight w:val="0"/>
                              <w:marTop w:val="0"/>
                              <w:marBottom w:val="0"/>
                              <w:divBdr>
                                <w:top w:val="none" w:sz="0" w:space="0" w:color="auto"/>
                                <w:left w:val="none" w:sz="0" w:space="0" w:color="auto"/>
                                <w:bottom w:val="none" w:sz="0" w:space="0" w:color="auto"/>
                                <w:right w:val="none" w:sz="0" w:space="0" w:color="auto"/>
                              </w:divBdr>
                            </w:div>
                            <w:div w:id="1586376980">
                              <w:marLeft w:val="0"/>
                              <w:marRight w:val="0"/>
                              <w:marTop w:val="0"/>
                              <w:marBottom w:val="0"/>
                              <w:divBdr>
                                <w:top w:val="none" w:sz="0" w:space="0" w:color="auto"/>
                                <w:left w:val="none" w:sz="0" w:space="0" w:color="auto"/>
                                <w:bottom w:val="none" w:sz="0" w:space="0" w:color="auto"/>
                                <w:right w:val="none" w:sz="0" w:space="0" w:color="auto"/>
                              </w:divBdr>
                            </w:div>
                            <w:div w:id="1829402327">
                              <w:marLeft w:val="0"/>
                              <w:marRight w:val="0"/>
                              <w:marTop w:val="0"/>
                              <w:marBottom w:val="0"/>
                              <w:divBdr>
                                <w:top w:val="none" w:sz="0" w:space="0" w:color="auto"/>
                                <w:left w:val="none" w:sz="0" w:space="0" w:color="auto"/>
                                <w:bottom w:val="none" w:sz="0" w:space="0" w:color="auto"/>
                                <w:right w:val="none" w:sz="0" w:space="0" w:color="auto"/>
                              </w:divBdr>
                            </w:div>
                            <w:div w:id="1312639407">
                              <w:marLeft w:val="0"/>
                              <w:marRight w:val="0"/>
                              <w:marTop w:val="0"/>
                              <w:marBottom w:val="0"/>
                              <w:divBdr>
                                <w:top w:val="none" w:sz="0" w:space="0" w:color="auto"/>
                                <w:left w:val="none" w:sz="0" w:space="0" w:color="auto"/>
                                <w:bottom w:val="none" w:sz="0" w:space="0" w:color="auto"/>
                                <w:right w:val="none" w:sz="0" w:space="0" w:color="auto"/>
                              </w:divBdr>
                            </w:div>
                            <w:div w:id="1321689665">
                              <w:marLeft w:val="0"/>
                              <w:marRight w:val="0"/>
                              <w:marTop w:val="0"/>
                              <w:marBottom w:val="0"/>
                              <w:divBdr>
                                <w:top w:val="none" w:sz="0" w:space="0" w:color="auto"/>
                                <w:left w:val="none" w:sz="0" w:space="0" w:color="auto"/>
                                <w:bottom w:val="none" w:sz="0" w:space="0" w:color="auto"/>
                                <w:right w:val="none" w:sz="0" w:space="0" w:color="auto"/>
                              </w:divBdr>
                            </w:div>
                            <w:div w:id="1882596048">
                              <w:marLeft w:val="0"/>
                              <w:marRight w:val="0"/>
                              <w:marTop w:val="0"/>
                              <w:marBottom w:val="0"/>
                              <w:divBdr>
                                <w:top w:val="none" w:sz="0" w:space="0" w:color="auto"/>
                                <w:left w:val="none" w:sz="0" w:space="0" w:color="auto"/>
                                <w:bottom w:val="none" w:sz="0" w:space="0" w:color="auto"/>
                                <w:right w:val="none" w:sz="0" w:space="0" w:color="auto"/>
                              </w:divBdr>
                            </w:div>
                            <w:div w:id="564530033">
                              <w:marLeft w:val="0"/>
                              <w:marRight w:val="0"/>
                              <w:marTop w:val="0"/>
                              <w:marBottom w:val="0"/>
                              <w:divBdr>
                                <w:top w:val="none" w:sz="0" w:space="0" w:color="auto"/>
                                <w:left w:val="none" w:sz="0" w:space="0" w:color="auto"/>
                                <w:bottom w:val="none" w:sz="0" w:space="0" w:color="auto"/>
                                <w:right w:val="none" w:sz="0" w:space="0" w:color="auto"/>
                              </w:divBdr>
                            </w:div>
                            <w:div w:id="1891764349">
                              <w:marLeft w:val="0"/>
                              <w:marRight w:val="0"/>
                              <w:marTop w:val="0"/>
                              <w:marBottom w:val="0"/>
                              <w:divBdr>
                                <w:top w:val="none" w:sz="0" w:space="0" w:color="auto"/>
                                <w:left w:val="none" w:sz="0" w:space="0" w:color="auto"/>
                                <w:bottom w:val="none" w:sz="0" w:space="0" w:color="auto"/>
                                <w:right w:val="none" w:sz="0" w:space="0" w:color="auto"/>
                              </w:divBdr>
                            </w:div>
                            <w:div w:id="940334420">
                              <w:marLeft w:val="0"/>
                              <w:marRight w:val="0"/>
                              <w:marTop w:val="0"/>
                              <w:marBottom w:val="0"/>
                              <w:divBdr>
                                <w:top w:val="none" w:sz="0" w:space="0" w:color="auto"/>
                                <w:left w:val="none" w:sz="0" w:space="0" w:color="auto"/>
                                <w:bottom w:val="none" w:sz="0" w:space="0" w:color="auto"/>
                                <w:right w:val="none" w:sz="0" w:space="0" w:color="auto"/>
                              </w:divBdr>
                            </w:div>
                            <w:div w:id="1960454015">
                              <w:marLeft w:val="0"/>
                              <w:marRight w:val="0"/>
                              <w:marTop w:val="0"/>
                              <w:marBottom w:val="0"/>
                              <w:divBdr>
                                <w:top w:val="none" w:sz="0" w:space="0" w:color="auto"/>
                                <w:left w:val="none" w:sz="0" w:space="0" w:color="auto"/>
                                <w:bottom w:val="none" w:sz="0" w:space="0" w:color="auto"/>
                                <w:right w:val="none" w:sz="0" w:space="0" w:color="auto"/>
                              </w:divBdr>
                            </w:div>
                            <w:div w:id="1465081497">
                              <w:marLeft w:val="0"/>
                              <w:marRight w:val="0"/>
                              <w:marTop w:val="0"/>
                              <w:marBottom w:val="0"/>
                              <w:divBdr>
                                <w:top w:val="none" w:sz="0" w:space="0" w:color="auto"/>
                                <w:left w:val="none" w:sz="0" w:space="0" w:color="auto"/>
                                <w:bottom w:val="none" w:sz="0" w:space="0" w:color="auto"/>
                                <w:right w:val="none" w:sz="0" w:space="0" w:color="auto"/>
                              </w:divBdr>
                            </w:div>
                            <w:div w:id="764693417">
                              <w:marLeft w:val="0"/>
                              <w:marRight w:val="0"/>
                              <w:marTop w:val="0"/>
                              <w:marBottom w:val="0"/>
                              <w:divBdr>
                                <w:top w:val="none" w:sz="0" w:space="0" w:color="auto"/>
                                <w:left w:val="none" w:sz="0" w:space="0" w:color="auto"/>
                                <w:bottom w:val="none" w:sz="0" w:space="0" w:color="auto"/>
                                <w:right w:val="none" w:sz="0" w:space="0" w:color="auto"/>
                              </w:divBdr>
                            </w:div>
                            <w:div w:id="1083531188">
                              <w:marLeft w:val="0"/>
                              <w:marRight w:val="0"/>
                              <w:marTop w:val="0"/>
                              <w:marBottom w:val="0"/>
                              <w:divBdr>
                                <w:top w:val="none" w:sz="0" w:space="0" w:color="auto"/>
                                <w:left w:val="none" w:sz="0" w:space="0" w:color="auto"/>
                                <w:bottom w:val="none" w:sz="0" w:space="0" w:color="auto"/>
                                <w:right w:val="none" w:sz="0" w:space="0" w:color="auto"/>
                              </w:divBdr>
                            </w:div>
                            <w:div w:id="572590904">
                              <w:marLeft w:val="0"/>
                              <w:marRight w:val="0"/>
                              <w:marTop w:val="0"/>
                              <w:marBottom w:val="0"/>
                              <w:divBdr>
                                <w:top w:val="none" w:sz="0" w:space="0" w:color="auto"/>
                                <w:left w:val="none" w:sz="0" w:space="0" w:color="auto"/>
                                <w:bottom w:val="none" w:sz="0" w:space="0" w:color="auto"/>
                                <w:right w:val="none" w:sz="0" w:space="0" w:color="auto"/>
                              </w:divBdr>
                            </w:div>
                            <w:div w:id="2063824276">
                              <w:marLeft w:val="0"/>
                              <w:marRight w:val="0"/>
                              <w:marTop w:val="0"/>
                              <w:marBottom w:val="0"/>
                              <w:divBdr>
                                <w:top w:val="none" w:sz="0" w:space="0" w:color="auto"/>
                                <w:left w:val="none" w:sz="0" w:space="0" w:color="auto"/>
                                <w:bottom w:val="none" w:sz="0" w:space="0" w:color="auto"/>
                                <w:right w:val="none" w:sz="0" w:space="0" w:color="auto"/>
                              </w:divBdr>
                            </w:div>
                            <w:div w:id="1743915846">
                              <w:marLeft w:val="0"/>
                              <w:marRight w:val="0"/>
                              <w:marTop w:val="0"/>
                              <w:marBottom w:val="0"/>
                              <w:divBdr>
                                <w:top w:val="none" w:sz="0" w:space="0" w:color="auto"/>
                                <w:left w:val="none" w:sz="0" w:space="0" w:color="auto"/>
                                <w:bottom w:val="none" w:sz="0" w:space="0" w:color="auto"/>
                                <w:right w:val="none" w:sz="0" w:space="0" w:color="auto"/>
                              </w:divBdr>
                            </w:div>
                            <w:div w:id="119151654">
                              <w:marLeft w:val="0"/>
                              <w:marRight w:val="0"/>
                              <w:marTop w:val="0"/>
                              <w:marBottom w:val="0"/>
                              <w:divBdr>
                                <w:top w:val="none" w:sz="0" w:space="0" w:color="auto"/>
                                <w:left w:val="none" w:sz="0" w:space="0" w:color="auto"/>
                                <w:bottom w:val="none" w:sz="0" w:space="0" w:color="auto"/>
                                <w:right w:val="none" w:sz="0" w:space="0" w:color="auto"/>
                              </w:divBdr>
                            </w:div>
                            <w:div w:id="1761828747">
                              <w:marLeft w:val="0"/>
                              <w:marRight w:val="0"/>
                              <w:marTop w:val="0"/>
                              <w:marBottom w:val="0"/>
                              <w:divBdr>
                                <w:top w:val="none" w:sz="0" w:space="0" w:color="auto"/>
                                <w:left w:val="none" w:sz="0" w:space="0" w:color="auto"/>
                                <w:bottom w:val="none" w:sz="0" w:space="0" w:color="auto"/>
                                <w:right w:val="none" w:sz="0" w:space="0" w:color="auto"/>
                              </w:divBdr>
                            </w:div>
                            <w:div w:id="177891742">
                              <w:marLeft w:val="0"/>
                              <w:marRight w:val="0"/>
                              <w:marTop w:val="0"/>
                              <w:marBottom w:val="0"/>
                              <w:divBdr>
                                <w:top w:val="none" w:sz="0" w:space="0" w:color="auto"/>
                                <w:left w:val="none" w:sz="0" w:space="0" w:color="auto"/>
                                <w:bottom w:val="none" w:sz="0" w:space="0" w:color="auto"/>
                                <w:right w:val="none" w:sz="0" w:space="0" w:color="auto"/>
                              </w:divBdr>
                            </w:div>
                            <w:div w:id="1804688140">
                              <w:marLeft w:val="0"/>
                              <w:marRight w:val="0"/>
                              <w:marTop w:val="0"/>
                              <w:marBottom w:val="0"/>
                              <w:divBdr>
                                <w:top w:val="none" w:sz="0" w:space="0" w:color="auto"/>
                                <w:left w:val="none" w:sz="0" w:space="0" w:color="auto"/>
                                <w:bottom w:val="none" w:sz="0" w:space="0" w:color="auto"/>
                                <w:right w:val="none" w:sz="0" w:space="0" w:color="auto"/>
                              </w:divBdr>
                            </w:div>
                            <w:div w:id="285428370">
                              <w:marLeft w:val="0"/>
                              <w:marRight w:val="0"/>
                              <w:marTop w:val="0"/>
                              <w:marBottom w:val="0"/>
                              <w:divBdr>
                                <w:top w:val="none" w:sz="0" w:space="0" w:color="auto"/>
                                <w:left w:val="none" w:sz="0" w:space="0" w:color="auto"/>
                                <w:bottom w:val="none" w:sz="0" w:space="0" w:color="auto"/>
                                <w:right w:val="none" w:sz="0" w:space="0" w:color="auto"/>
                              </w:divBdr>
                            </w:div>
                            <w:div w:id="1829860674">
                              <w:marLeft w:val="0"/>
                              <w:marRight w:val="0"/>
                              <w:marTop w:val="0"/>
                              <w:marBottom w:val="0"/>
                              <w:divBdr>
                                <w:top w:val="none" w:sz="0" w:space="0" w:color="auto"/>
                                <w:left w:val="none" w:sz="0" w:space="0" w:color="auto"/>
                                <w:bottom w:val="none" w:sz="0" w:space="0" w:color="auto"/>
                                <w:right w:val="none" w:sz="0" w:space="0" w:color="auto"/>
                              </w:divBdr>
                            </w:div>
                            <w:div w:id="7487013">
                              <w:marLeft w:val="0"/>
                              <w:marRight w:val="0"/>
                              <w:marTop w:val="0"/>
                              <w:marBottom w:val="0"/>
                              <w:divBdr>
                                <w:top w:val="none" w:sz="0" w:space="0" w:color="auto"/>
                                <w:left w:val="none" w:sz="0" w:space="0" w:color="auto"/>
                                <w:bottom w:val="none" w:sz="0" w:space="0" w:color="auto"/>
                                <w:right w:val="none" w:sz="0" w:space="0" w:color="auto"/>
                              </w:divBdr>
                            </w:div>
                            <w:div w:id="949898204">
                              <w:marLeft w:val="0"/>
                              <w:marRight w:val="0"/>
                              <w:marTop w:val="0"/>
                              <w:marBottom w:val="0"/>
                              <w:divBdr>
                                <w:top w:val="none" w:sz="0" w:space="0" w:color="auto"/>
                                <w:left w:val="none" w:sz="0" w:space="0" w:color="auto"/>
                                <w:bottom w:val="none" w:sz="0" w:space="0" w:color="auto"/>
                                <w:right w:val="none" w:sz="0" w:space="0" w:color="auto"/>
                              </w:divBdr>
                            </w:div>
                            <w:div w:id="1594123313">
                              <w:marLeft w:val="0"/>
                              <w:marRight w:val="0"/>
                              <w:marTop w:val="0"/>
                              <w:marBottom w:val="0"/>
                              <w:divBdr>
                                <w:top w:val="none" w:sz="0" w:space="0" w:color="auto"/>
                                <w:left w:val="none" w:sz="0" w:space="0" w:color="auto"/>
                                <w:bottom w:val="none" w:sz="0" w:space="0" w:color="auto"/>
                                <w:right w:val="none" w:sz="0" w:space="0" w:color="auto"/>
                              </w:divBdr>
                            </w:div>
                            <w:div w:id="1673868882">
                              <w:marLeft w:val="0"/>
                              <w:marRight w:val="0"/>
                              <w:marTop w:val="0"/>
                              <w:marBottom w:val="0"/>
                              <w:divBdr>
                                <w:top w:val="none" w:sz="0" w:space="0" w:color="auto"/>
                                <w:left w:val="none" w:sz="0" w:space="0" w:color="auto"/>
                                <w:bottom w:val="none" w:sz="0" w:space="0" w:color="auto"/>
                                <w:right w:val="none" w:sz="0" w:space="0" w:color="auto"/>
                              </w:divBdr>
                            </w:div>
                            <w:div w:id="1994408489">
                              <w:marLeft w:val="0"/>
                              <w:marRight w:val="0"/>
                              <w:marTop w:val="0"/>
                              <w:marBottom w:val="0"/>
                              <w:divBdr>
                                <w:top w:val="none" w:sz="0" w:space="0" w:color="auto"/>
                                <w:left w:val="none" w:sz="0" w:space="0" w:color="auto"/>
                                <w:bottom w:val="none" w:sz="0" w:space="0" w:color="auto"/>
                                <w:right w:val="none" w:sz="0" w:space="0" w:color="auto"/>
                              </w:divBdr>
                            </w:div>
                            <w:div w:id="701176407">
                              <w:marLeft w:val="0"/>
                              <w:marRight w:val="0"/>
                              <w:marTop w:val="0"/>
                              <w:marBottom w:val="0"/>
                              <w:divBdr>
                                <w:top w:val="none" w:sz="0" w:space="0" w:color="auto"/>
                                <w:left w:val="none" w:sz="0" w:space="0" w:color="auto"/>
                                <w:bottom w:val="none" w:sz="0" w:space="0" w:color="auto"/>
                                <w:right w:val="none" w:sz="0" w:space="0" w:color="auto"/>
                              </w:divBdr>
                            </w:div>
                            <w:div w:id="386222223">
                              <w:marLeft w:val="0"/>
                              <w:marRight w:val="0"/>
                              <w:marTop w:val="0"/>
                              <w:marBottom w:val="0"/>
                              <w:divBdr>
                                <w:top w:val="none" w:sz="0" w:space="0" w:color="auto"/>
                                <w:left w:val="none" w:sz="0" w:space="0" w:color="auto"/>
                                <w:bottom w:val="none" w:sz="0" w:space="0" w:color="auto"/>
                                <w:right w:val="none" w:sz="0" w:space="0" w:color="auto"/>
                              </w:divBdr>
                            </w:div>
                            <w:div w:id="1146624774">
                              <w:marLeft w:val="0"/>
                              <w:marRight w:val="0"/>
                              <w:marTop w:val="0"/>
                              <w:marBottom w:val="0"/>
                              <w:divBdr>
                                <w:top w:val="none" w:sz="0" w:space="0" w:color="auto"/>
                                <w:left w:val="none" w:sz="0" w:space="0" w:color="auto"/>
                                <w:bottom w:val="none" w:sz="0" w:space="0" w:color="auto"/>
                                <w:right w:val="none" w:sz="0" w:space="0" w:color="auto"/>
                              </w:divBdr>
                            </w:div>
                            <w:div w:id="846750668">
                              <w:marLeft w:val="0"/>
                              <w:marRight w:val="0"/>
                              <w:marTop w:val="0"/>
                              <w:marBottom w:val="0"/>
                              <w:divBdr>
                                <w:top w:val="none" w:sz="0" w:space="0" w:color="auto"/>
                                <w:left w:val="none" w:sz="0" w:space="0" w:color="auto"/>
                                <w:bottom w:val="none" w:sz="0" w:space="0" w:color="auto"/>
                                <w:right w:val="none" w:sz="0" w:space="0" w:color="auto"/>
                              </w:divBdr>
                            </w:div>
                            <w:div w:id="696540099">
                              <w:marLeft w:val="0"/>
                              <w:marRight w:val="0"/>
                              <w:marTop w:val="0"/>
                              <w:marBottom w:val="0"/>
                              <w:divBdr>
                                <w:top w:val="none" w:sz="0" w:space="0" w:color="auto"/>
                                <w:left w:val="none" w:sz="0" w:space="0" w:color="auto"/>
                                <w:bottom w:val="none" w:sz="0" w:space="0" w:color="auto"/>
                                <w:right w:val="none" w:sz="0" w:space="0" w:color="auto"/>
                              </w:divBdr>
                            </w:div>
                            <w:div w:id="1584677867">
                              <w:marLeft w:val="0"/>
                              <w:marRight w:val="0"/>
                              <w:marTop w:val="0"/>
                              <w:marBottom w:val="0"/>
                              <w:divBdr>
                                <w:top w:val="none" w:sz="0" w:space="0" w:color="auto"/>
                                <w:left w:val="none" w:sz="0" w:space="0" w:color="auto"/>
                                <w:bottom w:val="none" w:sz="0" w:space="0" w:color="auto"/>
                                <w:right w:val="none" w:sz="0" w:space="0" w:color="auto"/>
                              </w:divBdr>
                            </w:div>
                            <w:div w:id="772898654">
                              <w:marLeft w:val="0"/>
                              <w:marRight w:val="0"/>
                              <w:marTop w:val="0"/>
                              <w:marBottom w:val="0"/>
                              <w:divBdr>
                                <w:top w:val="none" w:sz="0" w:space="0" w:color="auto"/>
                                <w:left w:val="none" w:sz="0" w:space="0" w:color="auto"/>
                                <w:bottom w:val="none" w:sz="0" w:space="0" w:color="auto"/>
                                <w:right w:val="none" w:sz="0" w:space="0" w:color="auto"/>
                              </w:divBdr>
                            </w:div>
                            <w:div w:id="1971399680">
                              <w:marLeft w:val="0"/>
                              <w:marRight w:val="0"/>
                              <w:marTop w:val="0"/>
                              <w:marBottom w:val="0"/>
                              <w:divBdr>
                                <w:top w:val="none" w:sz="0" w:space="0" w:color="auto"/>
                                <w:left w:val="none" w:sz="0" w:space="0" w:color="auto"/>
                                <w:bottom w:val="none" w:sz="0" w:space="0" w:color="auto"/>
                                <w:right w:val="none" w:sz="0" w:space="0" w:color="auto"/>
                              </w:divBdr>
                            </w:div>
                            <w:div w:id="302274755">
                              <w:marLeft w:val="0"/>
                              <w:marRight w:val="0"/>
                              <w:marTop w:val="0"/>
                              <w:marBottom w:val="0"/>
                              <w:divBdr>
                                <w:top w:val="none" w:sz="0" w:space="0" w:color="auto"/>
                                <w:left w:val="none" w:sz="0" w:space="0" w:color="auto"/>
                                <w:bottom w:val="none" w:sz="0" w:space="0" w:color="auto"/>
                                <w:right w:val="none" w:sz="0" w:space="0" w:color="auto"/>
                              </w:divBdr>
                            </w:div>
                            <w:div w:id="1266421837">
                              <w:marLeft w:val="0"/>
                              <w:marRight w:val="0"/>
                              <w:marTop w:val="0"/>
                              <w:marBottom w:val="0"/>
                              <w:divBdr>
                                <w:top w:val="none" w:sz="0" w:space="0" w:color="auto"/>
                                <w:left w:val="none" w:sz="0" w:space="0" w:color="auto"/>
                                <w:bottom w:val="none" w:sz="0" w:space="0" w:color="auto"/>
                                <w:right w:val="none" w:sz="0" w:space="0" w:color="auto"/>
                              </w:divBdr>
                            </w:div>
                            <w:div w:id="2042126074">
                              <w:marLeft w:val="0"/>
                              <w:marRight w:val="0"/>
                              <w:marTop w:val="0"/>
                              <w:marBottom w:val="0"/>
                              <w:divBdr>
                                <w:top w:val="none" w:sz="0" w:space="0" w:color="auto"/>
                                <w:left w:val="none" w:sz="0" w:space="0" w:color="auto"/>
                                <w:bottom w:val="none" w:sz="0" w:space="0" w:color="auto"/>
                                <w:right w:val="none" w:sz="0" w:space="0" w:color="auto"/>
                              </w:divBdr>
                            </w:div>
                            <w:div w:id="1267691768">
                              <w:marLeft w:val="0"/>
                              <w:marRight w:val="0"/>
                              <w:marTop w:val="0"/>
                              <w:marBottom w:val="0"/>
                              <w:divBdr>
                                <w:top w:val="none" w:sz="0" w:space="0" w:color="auto"/>
                                <w:left w:val="none" w:sz="0" w:space="0" w:color="auto"/>
                                <w:bottom w:val="none" w:sz="0" w:space="0" w:color="auto"/>
                                <w:right w:val="none" w:sz="0" w:space="0" w:color="auto"/>
                              </w:divBdr>
                            </w:div>
                            <w:div w:id="302586148">
                              <w:marLeft w:val="0"/>
                              <w:marRight w:val="0"/>
                              <w:marTop w:val="0"/>
                              <w:marBottom w:val="0"/>
                              <w:divBdr>
                                <w:top w:val="none" w:sz="0" w:space="0" w:color="auto"/>
                                <w:left w:val="none" w:sz="0" w:space="0" w:color="auto"/>
                                <w:bottom w:val="none" w:sz="0" w:space="0" w:color="auto"/>
                                <w:right w:val="none" w:sz="0" w:space="0" w:color="auto"/>
                              </w:divBdr>
                            </w:div>
                            <w:div w:id="158276973">
                              <w:marLeft w:val="0"/>
                              <w:marRight w:val="0"/>
                              <w:marTop w:val="0"/>
                              <w:marBottom w:val="0"/>
                              <w:divBdr>
                                <w:top w:val="none" w:sz="0" w:space="0" w:color="auto"/>
                                <w:left w:val="none" w:sz="0" w:space="0" w:color="auto"/>
                                <w:bottom w:val="none" w:sz="0" w:space="0" w:color="auto"/>
                                <w:right w:val="none" w:sz="0" w:space="0" w:color="auto"/>
                              </w:divBdr>
                            </w:div>
                            <w:div w:id="1977025726">
                              <w:marLeft w:val="0"/>
                              <w:marRight w:val="0"/>
                              <w:marTop w:val="0"/>
                              <w:marBottom w:val="0"/>
                              <w:divBdr>
                                <w:top w:val="none" w:sz="0" w:space="0" w:color="auto"/>
                                <w:left w:val="none" w:sz="0" w:space="0" w:color="auto"/>
                                <w:bottom w:val="none" w:sz="0" w:space="0" w:color="auto"/>
                                <w:right w:val="none" w:sz="0" w:space="0" w:color="auto"/>
                              </w:divBdr>
                            </w:div>
                            <w:div w:id="69428527">
                              <w:marLeft w:val="0"/>
                              <w:marRight w:val="0"/>
                              <w:marTop w:val="0"/>
                              <w:marBottom w:val="0"/>
                              <w:divBdr>
                                <w:top w:val="none" w:sz="0" w:space="0" w:color="auto"/>
                                <w:left w:val="none" w:sz="0" w:space="0" w:color="auto"/>
                                <w:bottom w:val="none" w:sz="0" w:space="0" w:color="auto"/>
                                <w:right w:val="none" w:sz="0" w:space="0" w:color="auto"/>
                              </w:divBdr>
                            </w:div>
                            <w:div w:id="1855875128">
                              <w:marLeft w:val="0"/>
                              <w:marRight w:val="0"/>
                              <w:marTop w:val="0"/>
                              <w:marBottom w:val="0"/>
                              <w:divBdr>
                                <w:top w:val="none" w:sz="0" w:space="0" w:color="auto"/>
                                <w:left w:val="none" w:sz="0" w:space="0" w:color="auto"/>
                                <w:bottom w:val="none" w:sz="0" w:space="0" w:color="auto"/>
                                <w:right w:val="none" w:sz="0" w:space="0" w:color="auto"/>
                              </w:divBdr>
                            </w:div>
                            <w:div w:id="1582446216">
                              <w:marLeft w:val="0"/>
                              <w:marRight w:val="0"/>
                              <w:marTop w:val="0"/>
                              <w:marBottom w:val="0"/>
                              <w:divBdr>
                                <w:top w:val="none" w:sz="0" w:space="0" w:color="auto"/>
                                <w:left w:val="none" w:sz="0" w:space="0" w:color="auto"/>
                                <w:bottom w:val="none" w:sz="0" w:space="0" w:color="auto"/>
                                <w:right w:val="none" w:sz="0" w:space="0" w:color="auto"/>
                              </w:divBdr>
                            </w:div>
                            <w:div w:id="624432794">
                              <w:marLeft w:val="0"/>
                              <w:marRight w:val="0"/>
                              <w:marTop w:val="0"/>
                              <w:marBottom w:val="0"/>
                              <w:divBdr>
                                <w:top w:val="none" w:sz="0" w:space="0" w:color="auto"/>
                                <w:left w:val="none" w:sz="0" w:space="0" w:color="auto"/>
                                <w:bottom w:val="none" w:sz="0" w:space="0" w:color="auto"/>
                                <w:right w:val="none" w:sz="0" w:space="0" w:color="auto"/>
                              </w:divBdr>
                            </w:div>
                            <w:div w:id="772164019">
                              <w:marLeft w:val="0"/>
                              <w:marRight w:val="0"/>
                              <w:marTop w:val="0"/>
                              <w:marBottom w:val="0"/>
                              <w:divBdr>
                                <w:top w:val="none" w:sz="0" w:space="0" w:color="auto"/>
                                <w:left w:val="none" w:sz="0" w:space="0" w:color="auto"/>
                                <w:bottom w:val="none" w:sz="0" w:space="0" w:color="auto"/>
                                <w:right w:val="none" w:sz="0" w:space="0" w:color="auto"/>
                              </w:divBdr>
                            </w:div>
                            <w:div w:id="1831016729">
                              <w:marLeft w:val="0"/>
                              <w:marRight w:val="0"/>
                              <w:marTop w:val="0"/>
                              <w:marBottom w:val="0"/>
                              <w:divBdr>
                                <w:top w:val="none" w:sz="0" w:space="0" w:color="auto"/>
                                <w:left w:val="none" w:sz="0" w:space="0" w:color="auto"/>
                                <w:bottom w:val="none" w:sz="0" w:space="0" w:color="auto"/>
                                <w:right w:val="none" w:sz="0" w:space="0" w:color="auto"/>
                              </w:divBdr>
                            </w:div>
                            <w:div w:id="1785416854">
                              <w:marLeft w:val="0"/>
                              <w:marRight w:val="0"/>
                              <w:marTop w:val="0"/>
                              <w:marBottom w:val="0"/>
                              <w:divBdr>
                                <w:top w:val="none" w:sz="0" w:space="0" w:color="auto"/>
                                <w:left w:val="none" w:sz="0" w:space="0" w:color="auto"/>
                                <w:bottom w:val="none" w:sz="0" w:space="0" w:color="auto"/>
                                <w:right w:val="none" w:sz="0" w:space="0" w:color="auto"/>
                              </w:divBdr>
                            </w:div>
                            <w:div w:id="605768644">
                              <w:marLeft w:val="0"/>
                              <w:marRight w:val="0"/>
                              <w:marTop w:val="0"/>
                              <w:marBottom w:val="0"/>
                              <w:divBdr>
                                <w:top w:val="none" w:sz="0" w:space="0" w:color="auto"/>
                                <w:left w:val="none" w:sz="0" w:space="0" w:color="auto"/>
                                <w:bottom w:val="none" w:sz="0" w:space="0" w:color="auto"/>
                                <w:right w:val="none" w:sz="0" w:space="0" w:color="auto"/>
                              </w:divBdr>
                            </w:div>
                            <w:div w:id="1299073149">
                              <w:marLeft w:val="0"/>
                              <w:marRight w:val="0"/>
                              <w:marTop w:val="0"/>
                              <w:marBottom w:val="0"/>
                              <w:divBdr>
                                <w:top w:val="none" w:sz="0" w:space="0" w:color="auto"/>
                                <w:left w:val="none" w:sz="0" w:space="0" w:color="auto"/>
                                <w:bottom w:val="none" w:sz="0" w:space="0" w:color="auto"/>
                                <w:right w:val="none" w:sz="0" w:space="0" w:color="auto"/>
                              </w:divBdr>
                            </w:div>
                            <w:div w:id="171184710">
                              <w:marLeft w:val="0"/>
                              <w:marRight w:val="0"/>
                              <w:marTop w:val="0"/>
                              <w:marBottom w:val="0"/>
                              <w:divBdr>
                                <w:top w:val="none" w:sz="0" w:space="0" w:color="auto"/>
                                <w:left w:val="none" w:sz="0" w:space="0" w:color="auto"/>
                                <w:bottom w:val="none" w:sz="0" w:space="0" w:color="auto"/>
                                <w:right w:val="none" w:sz="0" w:space="0" w:color="auto"/>
                              </w:divBdr>
                            </w:div>
                            <w:div w:id="292830523">
                              <w:marLeft w:val="0"/>
                              <w:marRight w:val="0"/>
                              <w:marTop w:val="0"/>
                              <w:marBottom w:val="0"/>
                              <w:divBdr>
                                <w:top w:val="none" w:sz="0" w:space="0" w:color="auto"/>
                                <w:left w:val="none" w:sz="0" w:space="0" w:color="auto"/>
                                <w:bottom w:val="none" w:sz="0" w:space="0" w:color="auto"/>
                                <w:right w:val="none" w:sz="0" w:space="0" w:color="auto"/>
                              </w:divBdr>
                            </w:div>
                            <w:div w:id="3773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06507">
          <w:marLeft w:val="0"/>
          <w:marRight w:val="0"/>
          <w:marTop w:val="0"/>
          <w:marBottom w:val="0"/>
          <w:divBdr>
            <w:top w:val="none" w:sz="0" w:space="0" w:color="auto"/>
            <w:left w:val="none" w:sz="0" w:space="0" w:color="auto"/>
            <w:bottom w:val="single" w:sz="18" w:space="0" w:color="E4E4E4"/>
            <w:right w:val="none" w:sz="0" w:space="0" w:color="auto"/>
          </w:divBdr>
          <w:divsChild>
            <w:div w:id="694036152">
              <w:marLeft w:val="0"/>
              <w:marRight w:val="0"/>
              <w:marTop w:val="0"/>
              <w:marBottom w:val="0"/>
              <w:divBdr>
                <w:top w:val="none" w:sz="0" w:space="0" w:color="auto"/>
                <w:left w:val="none" w:sz="0" w:space="0" w:color="auto"/>
                <w:bottom w:val="none" w:sz="0" w:space="0" w:color="auto"/>
                <w:right w:val="none" w:sz="0" w:space="0" w:color="auto"/>
              </w:divBdr>
              <w:divsChild>
                <w:div w:id="1301110468">
                  <w:marLeft w:val="0"/>
                  <w:marRight w:val="0"/>
                  <w:marTop w:val="0"/>
                  <w:marBottom w:val="0"/>
                  <w:divBdr>
                    <w:top w:val="none" w:sz="0" w:space="0" w:color="auto"/>
                    <w:left w:val="none" w:sz="0" w:space="0" w:color="auto"/>
                    <w:bottom w:val="none" w:sz="0" w:space="0" w:color="auto"/>
                    <w:right w:val="none" w:sz="0" w:space="0" w:color="auto"/>
                  </w:divBdr>
                  <w:divsChild>
                    <w:div w:id="1129400334">
                      <w:marLeft w:val="0"/>
                      <w:marRight w:val="0"/>
                      <w:marTop w:val="0"/>
                      <w:marBottom w:val="0"/>
                      <w:divBdr>
                        <w:top w:val="none" w:sz="0" w:space="0" w:color="auto"/>
                        <w:left w:val="none" w:sz="0" w:space="0" w:color="auto"/>
                        <w:bottom w:val="none" w:sz="0" w:space="0" w:color="auto"/>
                        <w:right w:val="none" w:sz="0" w:space="0" w:color="auto"/>
                      </w:divBdr>
                      <w:divsChild>
                        <w:div w:id="1692681372">
                          <w:marLeft w:val="0"/>
                          <w:marRight w:val="0"/>
                          <w:marTop w:val="0"/>
                          <w:marBottom w:val="0"/>
                          <w:divBdr>
                            <w:top w:val="none" w:sz="0" w:space="0" w:color="auto"/>
                            <w:left w:val="none" w:sz="0" w:space="0" w:color="auto"/>
                            <w:bottom w:val="none" w:sz="0" w:space="0" w:color="auto"/>
                            <w:right w:val="none" w:sz="0" w:space="0" w:color="auto"/>
                          </w:divBdr>
                          <w:divsChild>
                            <w:div w:id="492769080">
                              <w:marLeft w:val="0"/>
                              <w:marRight w:val="0"/>
                              <w:marTop w:val="0"/>
                              <w:marBottom w:val="0"/>
                              <w:divBdr>
                                <w:top w:val="none" w:sz="0" w:space="0" w:color="auto"/>
                                <w:left w:val="none" w:sz="0" w:space="0" w:color="auto"/>
                                <w:bottom w:val="none" w:sz="0" w:space="0" w:color="auto"/>
                                <w:right w:val="none" w:sz="0" w:space="0" w:color="auto"/>
                              </w:divBdr>
                            </w:div>
                            <w:div w:id="1688630153">
                              <w:marLeft w:val="0"/>
                              <w:marRight w:val="0"/>
                              <w:marTop w:val="0"/>
                              <w:marBottom w:val="0"/>
                              <w:divBdr>
                                <w:top w:val="none" w:sz="0" w:space="0" w:color="auto"/>
                                <w:left w:val="none" w:sz="0" w:space="0" w:color="auto"/>
                                <w:bottom w:val="none" w:sz="0" w:space="0" w:color="auto"/>
                                <w:right w:val="none" w:sz="0" w:space="0" w:color="auto"/>
                              </w:divBdr>
                            </w:div>
                            <w:div w:id="2024744740">
                              <w:marLeft w:val="0"/>
                              <w:marRight w:val="0"/>
                              <w:marTop w:val="0"/>
                              <w:marBottom w:val="0"/>
                              <w:divBdr>
                                <w:top w:val="none" w:sz="0" w:space="0" w:color="auto"/>
                                <w:left w:val="none" w:sz="0" w:space="0" w:color="auto"/>
                                <w:bottom w:val="none" w:sz="0" w:space="0" w:color="auto"/>
                                <w:right w:val="none" w:sz="0" w:space="0" w:color="auto"/>
                              </w:divBdr>
                            </w:div>
                            <w:div w:id="686907227">
                              <w:marLeft w:val="0"/>
                              <w:marRight w:val="0"/>
                              <w:marTop w:val="0"/>
                              <w:marBottom w:val="0"/>
                              <w:divBdr>
                                <w:top w:val="none" w:sz="0" w:space="0" w:color="auto"/>
                                <w:left w:val="none" w:sz="0" w:space="0" w:color="auto"/>
                                <w:bottom w:val="none" w:sz="0" w:space="0" w:color="auto"/>
                                <w:right w:val="none" w:sz="0" w:space="0" w:color="auto"/>
                              </w:divBdr>
                            </w:div>
                            <w:div w:id="955019571">
                              <w:marLeft w:val="0"/>
                              <w:marRight w:val="0"/>
                              <w:marTop w:val="0"/>
                              <w:marBottom w:val="0"/>
                              <w:divBdr>
                                <w:top w:val="none" w:sz="0" w:space="0" w:color="auto"/>
                                <w:left w:val="none" w:sz="0" w:space="0" w:color="auto"/>
                                <w:bottom w:val="none" w:sz="0" w:space="0" w:color="auto"/>
                                <w:right w:val="none" w:sz="0" w:space="0" w:color="auto"/>
                              </w:divBdr>
                            </w:div>
                            <w:div w:id="1664821540">
                              <w:marLeft w:val="0"/>
                              <w:marRight w:val="0"/>
                              <w:marTop w:val="0"/>
                              <w:marBottom w:val="0"/>
                              <w:divBdr>
                                <w:top w:val="none" w:sz="0" w:space="0" w:color="auto"/>
                                <w:left w:val="none" w:sz="0" w:space="0" w:color="auto"/>
                                <w:bottom w:val="none" w:sz="0" w:space="0" w:color="auto"/>
                                <w:right w:val="none" w:sz="0" w:space="0" w:color="auto"/>
                              </w:divBdr>
                            </w:div>
                            <w:div w:id="1826820841">
                              <w:marLeft w:val="0"/>
                              <w:marRight w:val="0"/>
                              <w:marTop w:val="0"/>
                              <w:marBottom w:val="0"/>
                              <w:divBdr>
                                <w:top w:val="none" w:sz="0" w:space="0" w:color="auto"/>
                                <w:left w:val="none" w:sz="0" w:space="0" w:color="auto"/>
                                <w:bottom w:val="none" w:sz="0" w:space="0" w:color="auto"/>
                                <w:right w:val="none" w:sz="0" w:space="0" w:color="auto"/>
                              </w:divBdr>
                            </w:div>
                            <w:div w:id="211187664">
                              <w:marLeft w:val="0"/>
                              <w:marRight w:val="0"/>
                              <w:marTop w:val="0"/>
                              <w:marBottom w:val="0"/>
                              <w:divBdr>
                                <w:top w:val="none" w:sz="0" w:space="0" w:color="auto"/>
                                <w:left w:val="none" w:sz="0" w:space="0" w:color="auto"/>
                                <w:bottom w:val="none" w:sz="0" w:space="0" w:color="auto"/>
                                <w:right w:val="none" w:sz="0" w:space="0" w:color="auto"/>
                              </w:divBdr>
                            </w:div>
                            <w:div w:id="331490753">
                              <w:marLeft w:val="0"/>
                              <w:marRight w:val="0"/>
                              <w:marTop w:val="0"/>
                              <w:marBottom w:val="0"/>
                              <w:divBdr>
                                <w:top w:val="none" w:sz="0" w:space="0" w:color="auto"/>
                                <w:left w:val="none" w:sz="0" w:space="0" w:color="auto"/>
                                <w:bottom w:val="none" w:sz="0" w:space="0" w:color="auto"/>
                                <w:right w:val="none" w:sz="0" w:space="0" w:color="auto"/>
                              </w:divBdr>
                            </w:div>
                            <w:div w:id="1752042580">
                              <w:marLeft w:val="0"/>
                              <w:marRight w:val="0"/>
                              <w:marTop w:val="0"/>
                              <w:marBottom w:val="0"/>
                              <w:divBdr>
                                <w:top w:val="none" w:sz="0" w:space="0" w:color="auto"/>
                                <w:left w:val="none" w:sz="0" w:space="0" w:color="auto"/>
                                <w:bottom w:val="none" w:sz="0" w:space="0" w:color="auto"/>
                                <w:right w:val="none" w:sz="0" w:space="0" w:color="auto"/>
                              </w:divBdr>
                            </w:div>
                            <w:div w:id="232858094">
                              <w:marLeft w:val="0"/>
                              <w:marRight w:val="0"/>
                              <w:marTop w:val="0"/>
                              <w:marBottom w:val="0"/>
                              <w:divBdr>
                                <w:top w:val="none" w:sz="0" w:space="0" w:color="auto"/>
                                <w:left w:val="none" w:sz="0" w:space="0" w:color="auto"/>
                                <w:bottom w:val="none" w:sz="0" w:space="0" w:color="auto"/>
                                <w:right w:val="none" w:sz="0" w:space="0" w:color="auto"/>
                              </w:divBdr>
                            </w:div>
                            <w:div w:id="737554875">
                              <w:marLeft w:val="0"/>
                              <w:marRight w:val="0"/>
                              <w:marTop w:val="0"/>
                              <w:marBottom w:val="0"/>
                              <w:divBdr>
                                <w:top w:val="none" w:sz="0" w:space="0" w:color="auto"/>
                                <w:left w:val="none" w:sz="0" w:space="0" w:color="auto"/>
                                <w:bottom w:val="none" w:sz="0" w:space="0" w:color="auto"/>
                                <w:right w:val="none" w:sz="0" w:space="0" w:color="auto"/>
                              </w:divBdr>
                            </w:div>
                            <w:div w:id="1989941707">
                              <w:marLeft w:val="0"/>
                              <w:marRight w:val="0"/>
                              <w:marTop w:val="0"/>
                              <w:marBottom w:val="0"/>
                              <w:divBdr>
                                <w:top w:val="none" w:sz="0" w:space="0" w:color="auto"/>
                                <w:left w:val="none" w:sz="0" w:space="0" w:color="auto"/>
                                <w:bottom w:val="none" w:sz="0" w:space="0" w:color="auto"/>
                                <w:right w:val="none" w:sz="0" w:space="0" w:color="auto"/>
                              </w:divBdr>
                            </w:div>
                            <w:div w:id="535586813">
                              <w:marLeft w:val="0"/>
                              <w:marRight w:val="0"/>
                              <w:marTop w:val="0"/>
                              <w:marBottom w:val="0"/>
                              <w:divBdr>
                                <w:top w:val="none" w:sz="0" w:space="0" w:color="auto"/>
                                <w:left w:val="none" w:sz="0" w:space="0" w:color="auto"/>
                                <w:bottom w:val="none" w:sz="0" w:space="0" w:color="auto"/>
                                <w:right w:val="none" w:sz="0" w:space="0" w:color="auto"/>
                              </w:divBdr>
                            </w:div>
                            <w:div w:id="1861040254">
                              <w:marLeft w:val="0"/>
                              <w:marRight w:val="0"/>
                              <w:marTop w:val="0"/>
                              <w:marBottom w:val="0"/>
                              <w:divBdr>
                                <w:top w:val="none" w:sz="0" w:space="0" w:color="auto"/>
                                <w:left w:val="none" w:sz="0" w:space="0" w:color="auto"/>
                                <w:bottom w:val="none" w:sz="0" w:space="0" w:color="auto"/>
                                <w:right w:val="none" w:sz="0" w:space="0" w:color="auto"/>
                              </w:divBdr>
                            </w:div>
                            <w:div w:id="1527014955">
                              <w:marLeft w:val="0"/>
                              <w:marRight w:val="0"/>
                              <w:marTop w:val="0"/>
                              <w:marBottom w:val="0"/>
                              <w:divBdr>
                                <w:top w:val="none" w:sz="0" w:space="0" w:color="auto"/>
                                <w:left w:val="none" w:sz="0" w:space="0" w:color="auto"/>
                                <w:bottom w:val="none" w:sz="0" w:space="0" w:color="auto"/>
                                <w:right w:val="none" w:sz="0" w:space="0" w:color="auto"/>
                              </w:divBdr>
                            </w:div>
                            <w:div w:id="351418021">
                              <w:marLeft w:val="0"/>
                              <w:marRight w:val="0"/>
                              <w:marTop w:val="0"/>
                              <w:marBottom w:val="0"/>
                              <w:divBdr>
                                <w:top w:val="none" w:sz="0" w:space="0" w:color="auto"/>
                                <w:left w:val="none" w:sz="0" w:space="0" w:color="auto"/>
                                <w:bottom w:val="none" w:sz="0" w:space="0" w:color="auto"/>
                                <w:right w:val="none" w:sz="0" w:space="0" w:color="auto"/>
                              </w:divBdr>
                            </w:div>
                            <w:div w:id="2113624077">
                              <w:marLeft w:val="0"/>
                              <w:marRight w:val="0"/>
                              <w:marTop w:val="0"/>
                              <w:marBottom w:val="0"/>
                              <w:divBdr>
                                <w:top w:val="none" w:sz="0" w:space="0" w:color="auto"/>
                                <w:left w:val="none" w:sz="0" w:space="0" w:color="auto"/>
                                <w:bottom w:val="none" w:sz="0" w:space="0" w:color="auto"/>
                                <w:right w:val="none" w:sz="0" w:space="0" w:color="auto"/>
                              </w:divBdr>
                            </w:div>
                            <w:div w:id="46535536">
                              <w:marLeft w:val="0"/>
                              <w:marRight w:val="0"/>
                              <w:marTop w:val="0"/>
                              <w:marBottom w:val="0"/>
                              <w:divBdr>
                                <w:top w:val="none" w:sz="0" w:space="0" w:color="auto"/>
                                <w:left w:val="none" w:sz="0" w:space="0" w:color="auto"/>
                                <w:bottom w:val="none" w:sz="0" w:space="0" w:color="auto"/>
                                <w:right w:val="none" w:sz="0" w:space="0" w:color="auto"/>
                              </w:divBdr>
                            </w:div>
                            <w:div w:id="11553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267545">
      <w:bodyDiv w:val="1"/>
      <w:marLeft w:val="0"/>
      <w:marRight w:val="0"/>
      <w:marTop w:val="0"/>
      <w:marBottom w:val="0"/>
      <w:divBdr>
        <w:top w:val="none" w:sz="0" w:space="0" w:color="auto"/>
        <w:left w:val="none" w:sz="0" w:space="0" w:color="auto"/>
        <w:bottom w:val="none" w:sz="0" w:space="0" w:color="auto"/>
        <w:right w:val="none" w:sz="0" w:space="0" w:color="auto"/>
      </w:divBdr>
    </w:div>
    <w:div w:id="1711106223">
      <w:bodyDiv w:val="1"/>
      <w:marLeft w:val="0"/>
      <w:marRight w:val="0"/>
      <w:marTop w:val="0"/>
      <w:marBottom w:val="0"/>
      <w:divBdr>
        <w:top w:val="none" w:sz="0" w:space="0" w:color="auto"/>
        <w:left w:val="none" w:sz="0" w:space="0" w:color="auto"/>
        <w:bottom w:val="none" w:sz="0" w:space="0" w:color="auto"/>
        <w:right w:val="none" w:sz="0" w:space="0" w:color="auto"/>
      </w:divBdr>
    </w:div>
    <w:div w:id="190914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206AD-5DD1-4D94-A357-5A156BAC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1283</Words>
  <Characters>6735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WINKLEIGH PARISH COUNCIL INAL AUDIT REQUIREMENTS</vt:lpstr>
    </vt:vector>
  </TitlesOfParts>
  <Company>Microsoft</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WINKLEIGH PARISH COUNCIL INAL AUDIT REQUIREMENTS</dc:title>
  <dc:creator>Winkleigh Clerk 22nd  JANUARY 2016</dc:creator>
  <cp:lastModifiedBy>Justin</cp:lastModifiedBy>
  <cp:revision>5</cp:revision>
  <cp:lastPrinted>2018-06-21T13:33:00Z</cp:lastPrinted>
  <dcterms:created xsi:type="dcterms:W3CDTF">2018-06-21T13:10:00Z</dcterms:created>
  <dcterms:modified xsi:type="dcterms:W3CDTF">2018-06-22T12:21:00Z</dcterms:modified>
</cp:coreProperties>
</file>